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D4777">
      <w:pPr>
        <w:ind w:left="332" w:leftChars="-200" w:hanging="752" w:hangingChars="209"/>
        <w:jc w:val="center"/>
        <w:rPr>
          <w:rFonts w:hint="eastAsia" w:ascii="黑体" w:hAnsi="黑体" w:eastAsia="黑体"/>
          <w:color w:val="auto"/>
          <w:kern w:val="0"/>
          <w:sz w:val="36"/>
          <w:szCs w:val="36"/>
          <w:highlight w:val="none"/>
        </w:rPr>
      </w:pPr>
      <w:r>
        <w:rPr>
          <w:rFonts w:hint="eastAsia" w:ascii="黑体" w:hAnsi="黑体" w:eastAsia="黑体"/>
          <w:color w:val="auto"/>
          <w:kern w:val="0"/>
          <w:sz w:val="36"/>
          <w:szCs w:val="36"/>
          <w:highlight w:val="none"/>
        </w:rPr>
        <w:t>工程建设强制性国家规范</w:t>
      </w:r>
    </w:p>
    <w:p w14:paraId="2748CDE1">
      <w:pPr>
        <w:rPr>
          <w:rFonts w:hint="eastAsia" w:eastAsia="宋体"/>
          <w:color w:val="auto"/>
          <w:highlight w:val="none"/>
        </w:rPr>
      </w:pPr>
      <w:r>
        <w:rPr>
          <w:rFonts w:eastAsia="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90805</wp:posOffset>
                </wp:positionV>
                <wp:extent cx="5774690" cy="10795"/>
                <wp:effectExtent l="0" t="9525" r="635" b="12065"/>
                <wp:wrapNone/>
                <wp:docPr id="1" name="直接连接符 1"/>
                <wp:cNvGraphicFramePr/>
                <a:graphic xmlns:a="http://schemas.openxmlformats.org/drawingml/2006/main">
                  <a:graphicData uri="http://schemas.microsoft.com/office/word/2010/wordprocessingShape">
                    <wps:wsp>
                      <wps:cNvCnPr/>
                      <wps:spPr>
                        <a:xfrm flipV="1">
                          <a:off x="0" y="0"/>
                          <a:ext cx="5774690" cy="1079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2.1pt;margin-top:7.15pt;height:0.85pt;width:454.7pt;z-index:251659264;mso-width-relative:page;mso-height-relative:page;" filled="f" stroked="t" coordsize="21600,21600" o:gfxdata="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9WAmPNUAAAAIAQAADwAAAAAAAAABACAAAAAiAAAAZHJzL2Rvd25yZXYueG1sUEsBAhQA&#10;FAAAAAgAh07iQN0cxC71AQAA5wMAAA4AAAAAAAAAAQAgAAAAJAEAAGRycy9lMm9Eb2MueG1sUEsF&#10;BgAAAAAGAAYAWQEAAIsFAAAAAA==&#10;">
                <v:fill on="f" focussize="0,0"/>
                <v:stroke weight="1.5pt" color="#000000" joinstyle="round"/>
                <v:imagedata o:title=""/>
                <o:lock v:ext="edit" aspectratio="f"/>
              </v:line>
            </w:pict>
          </mc:Fallback>
        </mc:AlternateContent>
      </w:r>
    </w:p>
    <w:p w14:paraId="2F0EFD04">
      <w:pPr>
        <w:pStyle w:val="63"/>
        <w:spacing w:before="312" w:beforeLines="100" w:after="312" w:afterLines="100" w:line="360" w:lineRule="auto"/>
        <w:rPr>
          <w:rFonts w:hint="eastAsia" w:ascii="黑体" w:hAnsi="黑体" w:eastAsia="黑体"/>
          <w:b w:val="0"/>
          <w:color w:val="auto"/>
          <w:sz w:val="44"/>
          <w:szCs w:val="44"/>
          <w:highlight w:val="none"/>
        </w:rPr>
      </w:pPr>
    </w:p>
    <w:p w14:paraId="63CE5736">
      <w:pPr>
        <w:pStyle w:val="63"/>
        <w:spacing w:before="312" w:beforeLines="100" w:after="312" w:afterLines="100" w:line="360" w:lineRule="auto"/>
        <w:rPr>
          <w:rFonts w:hint="eastAsia" w:ascii="黑体" w:hAnsi="黑体" w:eastAsia="黑体"/>
          <w:b w:val="0"/>
          <w:color w:val="auto"/>
          <w:sz w:val="44"/>
          <w:szCs w:val="44"/>
          <w:highlight w:val="none"/>
        </w:rPr>
      </w:pPr>
    </w:p>
    <w:p w14:paraId="380996B1">
      <w:pPr>
        <w:pStyle w:val="63"/>
        <w:spacing w:before="312" w:beforeLines="100" w:after="312" w:afterLines="100" w:line="360" w:lineRule="auto"/>
        <w:rPr>
          <w:rFonts w:hint="eastAsia" w:ascii="黑体" w:hAnsi="黑体" w:eastAsia="黑体"/>
          <w:b w:val="0"/>
          <w:color w:val="auto"/>
          <w:sz w:val="44"/>
          <w:szCs w:val="44"/>
          <w:highlight w:val="none"/>
        </w:rPr>
      </w:pPr>
      <w:bookmarkStart w:id="45" w:name="_GoBack"/>
      <w:bookmarkEnd w:id="45"/>
    </w:p>
    <w:p w14:paraId="6D0D58D8">
      <w:pPr>
        <w:pStyle w:val="63"/>
        <w:spacing w:before="312" w:beforeLines="100" w:after="312" w:afterLines="100" w:line="360" w:lineRule="auto"/>
        <w:rPr>
          <w:rFonts w:hint="eastAsia" w:ascii="黑体" w:hAnsi="黑体" w:eastAsia="黑体"/>
          <w:b w:val="0"/>
          <w:color w:val="auto"/>
          <w:sz w:val="48"/>
          <w:szCs w:val="48"/>
          <w:highlight w:val="none"/>
        </w:rPr>
      </w:pPr>
      <w:r>
        <w:rPr>
          <w:rFonts w:hint="eastAsia" w:ascii="黑体" w:hAnsi="黑体" w:eastAsia="黑体"/>
          <w:b w:val="0"/>
          <w:color w:val="auto"/>
          <w:sz w:val="48"/>
          <w:szCs w:val="48"/>
          <w:highlight w:val="none"/>
        </w:rPr>
        <w:t>《电池生产与处置工程项目规范》</w:t>
      </w:r>
    </w:p>
    <w:p w14:paraId="341640DE">
      <w:pPr>
        <w:pStyle w:val="64"/>
        <w:spacing w:before="312" w:beforeLines="100" w:after="312" w:afterLines="100" w:line="360" w:lineRule="auto"/>
        <w:rPr>
          <w:rFonts w:hint="eastAsia" w:ascii="黑体" w:hAnsi="黑体" w:eastAsia="黑体"/>
          <w:b w:val="0"/>
          <w:color w:val="auto"/>
          <w:highlight w:val="none"/>
        </w:rPr>
      </w:pPr>
    </w:p>
    <w:p w14:paraId="54C35BCA">
      <w:pPr>
        <w:pStyle w:val="64"/>
        <w:spacing w:before="312" w:beforeLines="100" w:after="312" w:afterLines="100" w:line="360" w:lineRule="auto"/>
        <w:rPr>
          <w:rFonts w:hint="eastAsia" w:ascii="黑体" w:hAnsi="黑体" w:eastAsia="黑体"/>
          <w:b w:val="0"/>
          <w:color w:val="auto"/>
          <w:highlight w:val="none"/>
        </w:rPr>
      </w:pPr>
      <w:r>
        <w:rPr>
          <w:rFonts w:hint="eastAsia" w:ascii="黑体" w:hAnsi="黑体" w:eastAsia="黑体"/>
          <w:b w:val="0"/>
          <w:color w:val="auto"/>
          <w:highlight w:val="none"/>
        </w:rPr>
        <w:t>（征求意见稿）</w:t>
      </w:r>
    </w:p>
    <w:p w14:paraId="65A537BC">
      <w:pPr>
        <w:pStyle w:val="64"/>
        <w:rPr>
          <w:color w:val="auto"/>
          <w:sz w:val="36"/>
          <w:szCs w:val="36"/>
          <w:highlight w:val="none"/>
        </w:rPr>
      </w:pPr>
    </w:p>
    <w:p w14:paraId="0E5821F5">
      <w:pPr>
        <w:rPr>
          <w:rFonts w:hint="eastAsia" w:eastAsia="宋体"/>
          <w:color w:val="auto"/>
          <w:sz w:val="30"/>
          <w:szCs w:val="30"/>
          <w:highlight w:val="none"/>
        </w:rPr>
      </w:pPr>
    </w:p>
    <w:p w14:paraId="661B74BD">
      <w:pPr>
        <w:pStyle w:val="18"/>
        <w:ind w:firstLine="210"/>
        <w:rPr>
          <w:color w:val="auto"/>
          <w:highlight w:val="none"/>
        </w:rPr>
      </w:pPr>
    </w:p>
    <w:p w14:paraId="13B2CCE5">
      <w:pPr>
        <w:pStyle w:val="18"/>
        <w:ind w:firstLine="210"/>
        <w:rPr>
          <w:color w:val="auto"/>
          <w:highlight w:val="none"/>
        </w:rPr>
      </w:pPr>
    </w:p>
    <w:p w14:paraId="4D6B2F6D">
      <w:pPr>
        <w:pStyle w:val="18"/>
        <w:ind w:firstLine="210"/>
        <w:rPr>
          <w:color w:val="auto"/>
          <w:highlight w:val="none"/>
        </w:rPr>
      </w:pPr>
    </w:p>
    <w:p w14:paraId="24075851">
      <w:pPr>
        <w:pStyle w:val="18"/>
        <w:spacing w:line="288" w:lineRule="auto"/>
        <w:ind w:firstLine="0" w:firstLineChars="0"/>
        <w:rPr>
          <w:color w:val="auto"/>
          <w:highlight w:val="none"/>
        </w:rPr>
      </w:pPr>
    </w:p>
    <w:p w14:paraId="48D3EE99">
      <w:pPr>
        <w:pStyle w:val="18"/>
        <w:ind w:firstLine="210"/>
        <w:rPr>
          <w:color w:val="auto"/>
          <w:highlight w:val="none"/>
        </w:rPr>
      </w:pPr>
    </w:p>
    <w:p w14:paraId="7B9482FE">
      <w:pPr>
        <w:widowControl/>
        <w:jc w:val="center"/>
        <w:rPr>
          <w:rStyle w:val="49"/>
          <w:rFonts w:hint="default"/>
          <w:color w:val="auto"/>
          <w:highlight w:val="none"/>
        </w:rPr>
      </w:pPr>
      <w:r>
        <w:rPr>
          <w:rStyle w:val="49"/>
          <w:rFonts w:hint="default"/>
          <w:color w:val="auto"/>
          <w:highlight w:val="none"/>
        </w:rPr>
        <w:br w:type="page"/>
      </w:r>
    </w:p>
    <w:p w14:paraId="0B7243E3">
      <w:pPr>
        <w:adjustRightInd w:val="0"/>
        <w:snapToGrid w:val="0"/>
        <w:spacing w:line="360" w:lineRule="auto"/>
        <w:ind w:right="-57" w:rightChars="-27"/>
        <w:jc w:val="center"/>
        <w:rPr>
          <w:rFonts w:ascii="Times New Roman" w:hAnsi="Times New Roman" w:eastAsia="宋体" w:cs="宋体"/>
          <w:bCs/>
          <w:color w:val="auto"/>
          <w:kern w:val="0"/>
          <w:sz w:val="28"/>
          <w:szCs w:val="36"/>
          <w:highlight w:val="none"/>
          <w:lang w:val="zh-CN"/>
        </w:rPr>
      </w:pPr>
      <w:r>
        <w:rPr>
          <w:rFonts w:ascii="Times New Roman" w:hAnsi="Times New Roman" w:eastAsia="宋体" w:cs="宋体"/>
          <w:bCs/>
          <w:color w:val="auto"/>
          <w:kern w:val="0"/>
          <w:sz w:val="28"/>
          <w:szCs w:val="36"/>
          <w:highlight w:val="none"/>
          <w:lang w:val="zh-CN"/>
        </w:rPr>
        <w:t>目  次</w:t>
      </w:r>
    </w:p>
    <w:p w14:paraId="06F60634">
      <w:pPr>
        <w:pStyle w:val="13"/>
        <w:adjustRightInd w:val="0"/>
        <w:snapToGrid w:val="0"/>
        <w:spacing w:line="360" w:lineRule="auto"/>
        <w:rPr>
          <w:rFonts w:ascii="Times New Roman" w:hAnsi="Times New Roman" w:cstheme="minorBidi"/>
          <w:color w:val="auto"/>
          <w:szCs w:val="24"/>
          <w:highlight w:val="none"/>
          <w14:ligatures w14:val="standardContextual"/>
        </w:rPr>
      </w:pPr>
      <w:r>
        <w:rPr>
          <w:rFonts w:ascii="Times New Roman" w:hAnsi="Times New Roman" w:cs="宋体"/>
          <w:bCs/>
          <w:color w:val="auto"/>
          <w:szCs w:val="24"/>
          <w:highlight w:val="none"/>
          <w:lang w:val="zh-CN"/>
        </w:rPr>
        <w:fldChar w:fldCharType="begin"/>
      </w:r>
      <w:r>
        <w:rPr>
          <w:rFonts w:ascii="Times New Roman" w:hAnsi="Times New Roman" w:cs="宋体"/>
          <w:bCs/>
          <w:color w:val="auto"/>
          <w:szCs w:val="24"/>
          <w:highlight w:val="none"/>
          <w:lang w:val="zh-CN"/>
        </w:rPr>
        <w:instrText xml:space="preserve"> TOC \o "1-3" \h \z \u </w:instrText>
      </w:r>
      <w:r>
        <w:rPr>
          <w:rFonts w:ascii="Times New Roman" w:hAnsi="Times New Roman" w:cs="宋体"/>
          <w:bCs/>
          <w:color w:val="auto"/>
          <w:szCs w:val="24"/>
          <w:highlight w:val="none"/>
          <w:lang w:val="zh-CN"/>
        </w:rPr>
        <w:fldChar w:fldCharType="separate"/>
      </w:r>
      <w:r>
        <w:rPr>
          <w:rFonts w:hint="eastAsia" w:ascii="Times New Roman" w:hAnsi="Times New Roman"/>
          <w:color w:val="auto"/>
          <w:highlight w:val="none"/>
        </w:rPr>
        <w:fldChar w:fldCharType="begin"/>
      </w:r>
      <w:r>
        <w:rPr>
          <w:rFonts w:ascii="Times New Roman" w:hAnsi="Times New Roman"/>
          <w:color w:val="auto"/>
          <w:highlight w:val="none"/>
        </w:rPr>
        <w:instrText xml:space="preserve"> HYPERLINK \l "_Toc233018507" </w:instrText>
      </w:r>
      <w:r>
        <w:rPr>
          <w:rFonts w:hint="eastAsia" w:ascii="Times New Roman" w:hAnsi="Times New Roman"/>
          <w:color w:val="auto"/>
          <w:highlight w:val="none"/>
        </w:rPr>
        <w:fldChar w:fldCharType="separate"/>
      </w:r>
      <w:r>
        <w:rPr>
          <w:rStyle w:val="22"/>
          <w:rFonts w:ascii="Times New Roman" w:hAnsi="Times New Roman"/>
          <w:color w:val="auto"/>
          <w:kern w:val="44"/>
          <w:highlight w:val="none"/>
        </w:rPr>
        <w:t>1  总则</w:t>
      </w:r>
      <w:r>
        <w:rPr>
          <w:rFonts w:hint="eastAsia" w:ascii="Times New Roman" w:hAnsi="Times New Roman"/>
          <w:color w:val="auto"/>
          <w:highlight w:val="none"/>
        </w:rPr>
        <w:tab/>
      </w:r>
      <w:r>
        <w:rPr>
          <w:rFonts w:hint="eastAsia" w:ascii="Times New Roman" w:hAnsi="Times New Roman"/>
          <w:color w:val="auto"/>
          <w:highlight w:val="none"/>
        </w:rPr>
        <w:fldChar w:fldCharType="begin"/>
      </w:r>
      <w:r>
        <w:rPr>
          <w:rFonts w:hint="eastAsia" w:ascii="Times New Roman" w:hAnsi="Times New Roman"/>
          <w:color w:val="auto"/>
          <w:highlight w:val="none"/>
        </w:rPr>
        <w:instrText xml:space="preserve"> </w:instrText>
      </w:r>
      <w:r>
        <w:rPr>
          <w:rFonts w:ascii="Times New Roman" w:hAnsi="Times New Roman"/>
          <w:color w:val="auto"/>
          <w:highlight w:val="none"/>
        </w:rPr>
        <w:instrText xml:space="preserve">PAGEREF _Toc233018507 \h</w:instrText>
      </w:r>
      <w:r>
        <w:rPr>
          <w:rFonts w:hint="eastAsia" w:ascii="Times New Roman" w:hAnsi="Times New Roman"/>
          <w:color w:val="auto"/>
          <w:highlight w:val="none"/>
        </w:rPr>
        <w:instrText xml:space="preserve"> </w:instrText>
      </w:r>
      <w:r>
        <w:rPr>
          <w:rFonts w:hint="eastAsia" w:ascii="Times New Roman" w:hAnsi="Times New Roman"/>
          <w:color w:val="auto"/>
          <w:highlight w:val="none"/>
        </w:rPr>
        <w:fldChar w:fldCharType="separate"/>
      </w:r>
      <w:r>
        <w:rPr>
          <w:rFonts w:ascii="Times New Roman" w:hAnsi="Times New Roman"/>
          <w:color w:val="auto"/>
          <w:highlight w:val="none"/>
        </w:rPr>
        <w:t>1</w:t>
      </w:r>
      <w:r>
        <w:rPr>
          <w:rFonts w:hint="eastAsia" w:ascii="Times New Roman" w:hAnsi="Times New Roman"/>
          <w:color w:val="auto"/>
          <w:highlight w:val="none"/>
        </w:rPr>
        <w:fldChar w:fldCharType="end"/>
      </w:r>
      <w:r>
        <w:rPr>
          <w:rFonts w:hint="eastAsia" w:ascii="Times New Roman" w:hAnsi="Times New Roman"/>
          <w:color w:val="auto"/>
          <w:highlight w:val="none"/>
        </w:rPr>
        <w:fldChar w:fldCharType="end"/>
      </w:r>
    </w:p>
    <w:p w14:paraId="2758A8EC">
      <w:pPr>
        <w:pStyle w:val="13"/>
        <w:adjustRightInd w:val="0"/>
        <w:snapToGrid w:val="0"/>
        <w:spacing w:line="360" w:lineRule="auto"/>
        <w:rPr>
          <w:rFonts w:ascii="Times New Roman" w:hAnsi="Times New Roman" w:cstheme="minorBidi"/>
          <w:color w:val="auto"/>
          <w:szCs w:val="24"/>
          <w:highlight w:val="none"/>
          <w14:ligatures w14:val="standardContextual"/>
        </w:rPr>
      </w:pPr>
      <w:r>
        <w:rPr>
          <w:rFonts w:hint="eastAsia" w:ascii="Times New Roman" w:hAnsi="Times New Roman"/>
          <w:color w:val="auto"/>
          <w:highlight w:val="none"/>
        </w:rPr>
        <w:fldChar w:fldCharType="begin"/>
      </w:r>
      <w:r>
        <w:rPr>
          <w:rFonts w:ascii="Times New Roman" w:hAnsi="Times New Roman"/>
          <w:color w:val="auto"/>
          <w:highlight w:val="none"/>
        </w:rPr>
        <w:instrText xml:space="preserve"> HYPERLINK \l "_Toc233018508" </w:instrText>
      </w:r>
      <w:r>
        <w:rPr>
          <w:rFonts w:hint="eastAsia" w:ascii="Times New Roman" w:hAnsi="Times New Roman"/>
          <w:color w:val="auto"/>
          <w:highlight w:val="none"/>
        </w:rPr>
        <w:fldChar w:fldCharType="separate"/>
      </w:r>
      <w:r>
        <w:rPr>
          <w:rStyle w:val="22"/>
          <w:rFonts w:ascii="Times New Roman" w:hAnsi="Times New Roman"/>
          <w:color w:val="auto"/>
          <w:kern w:val="44"/>
          <w:highlight w:val="none"/>
        </w:rPr>
        <w:t>2  基本规定</w:t>
      </w:r>
      <w:r>
        <w:rPr>
          <w:rFonts w:hint="eastAsia" w:ascii="Times New Roman" w:hAnsi="Times New Roman"/>
          <w:color w:val="auto"/>
          <w:highlight w:val="none"/>
        </w:rPr>
        <w:tab/>
      </w:r>
      <w:r>
        <w:rPr>
          <w:rFonts w:hint="eastAsia" w:ascii="Times New Roman" w:hAnsi="Times New Roman"/>
          <w:color w:val="auto"/>
          <w:highlight w:val="none"/>
        </w:rPr>
        <w:fldChar w:fldCharType="begin"/>
      </w:r>
      <w:r>
        <w:rPr>
          <w:rFonts w:hint="eastAsia" w:ascii="Times New Roman" w:hAnsi="Times New Roman"/>
          <w:color w:val="auto"/>
          <w:highlight w:val="none"/>
        </w:rPr>
        <w:instrText xml:space="preserve"> </w:instrText>
      </w:r>
      <w:r>
        <w:rPr>
          <w:rFonts w:ascii="Times New Roman" w:hAnsi="Times New Roman"/>
          <w:color w:val="auto"/>
          <w:highlight w:val="none"/>
        </w:rPr>
        <w:instrText xml:space="preserve">PAGEREF _Toc233018508 \h</w:instrText>
      </w:r>
      <w:r>
        <w:rPr>
          <w:rFonts w:hint="eastAsia" w:ascii="Times New Roman" w:hAnsi="Times New Roman"/>
          <w:color w:val="auto"/>
          <w:highlight w:val="none"/>
        </w:rPr>
        <w:instrText xml:space="preserve"> </w:instrText>
      </w:r>
      <w:r>
        <w:rPr>
          <w:rFonts w:hint="eastAsia" w:ascii="Times New Roman" w:hAnsi="Times New Roman"/>
          <w:color w:val="auto"/>
          <w:highlight w:val="none"/>
        </w:rPr>
        <w:fldChar w:fldCharType="separate"/>
      </w:r>
      <w:r>
        <w:rPr>
          <w:rFonts w:ascii="Times New Roman" w:hAnsi="Times New Roman"/>
          <w:color w:val="auto"/>
          <w:highlight w:val="none"/>
        </w:rPr>
        <w:t>2</w:t>
      </w:r>
      <w:r>
        <w:rPr>
          <w:rFonts w:hint="eastAsia" w:ascii="Times New Roman" w:hAnsi="Times New Roman"/>
          <w:color w:val="auto"/>
          <w:highlight w:val="none"/>
        </w:rPr>
        <w:fldChar w:fldCharType="end"/>
      </w:r>
      <w:r>
        <w:rPr>
          <w:rFonts w:hint="eastAsia" w:ascii="Times New Roman" w:hAnsi="Times New Roman"/>
          <w:color w:val="auto"/>
          <w:highlight w:val="none"/>
        </w:rPr>
        <w:fldChar w:fldCharType="end"/>
      </w:r>
    </w:p>
    <w:p w14:paraId="0F5529C6">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"_Toc233018509"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2.1 规划与布局</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_Toc233018509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2</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513041B5">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"_Toc233018510"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2.2 建设要求</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_Toc233018510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2</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4355A01C">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"_Toc233018511"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2.3 运维与拆除</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_Toc233018511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4</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46EC2677">
      <w:pPr>
        <w:pStyle w:val="13"/>
        <w:adjustRightInd w:val="0"/>
        <w:snapToGrid w:val="0"/>
        <w:spacing w:line="360" w:lineRule="auto"/>
        <w:rPr>
          <w:rFonts w:ascii="Times New Roman" w:hAnsi="Times New Roman" w:cstheme="minorBidi"/>
          <w:color w:val="auto"/>
          <w:szCs w:val="24"/>
          <w:highlight w:val="none"/>
          <w14:ligatures w14:val="standardContextual"/>
        </w:rPr>
      </w:pPr>
      <w:r>
        <w:rPr>
          <w:rFonts w:hint="eastAsia" w:ascii="Times New Roman" w:hAnsi="Times New Roman"/>
          <w:color w:val="auto"/>
          <w:highlight w:val="none"/>
        </w:rPr>
        <w:fldChar w:fldCharType="begin"/>
      </w:r>
      <w:r>
        <w:rPr>
          <w:rFonts w:ascii="Times New Roman" w:hAnsi="Times New Roman"/>
          <w:color w:val="auto"/>
          <w:highlight w:val="none"/>
        </w:rPr>
        <w:instrText xml:space="preserve"> HYPERLINK \l "_Toc233018512" </w:instrText>
      </w:r>
      <w:r>
        <w:rPr>
          <w:rFonts w:hint="eastAsia" w:ascii="Times New Roman" w:hAnsi="Times New Roman"/>
          <w:color w:val="auto"/>
          <w:highlight w:val="none"/>
        </w:rPr>
        <w:fldChar w:fldCharType="separate"/>
      </w:r>
      <w:r>
        <w:rPr>
          <w:rStyle w:val="22"/>
          <w:rFonts w:ascii="Times New Roman" w:hAnsi="Times New Roman"/>
          <w:color w:val="auto"/>
          <w:kern w:val="44"/>
          <w:highlight w:val="none"/>
        </w:rPr>
        <w:t>3  生产设施</w:t>
      </w:r>
      <w:r>
        <w:rPr>
          <w:rFonts w:hint="eastAsia" w:ascii="Times New Roman" w:hAnsi="Times New Roman"/>
          <w:color w:val="auto"/>
          <w:highlight w:val="none"/>
        </w:rPr>
        <w:tab/>
      </w:r>
      <w:r>
        <w:rPr>
          <w:rFonts w:hint="eastAsia" w:ascii="Times New Roman" w:hAnsi="Times New Roman"/>
          <w:color w:val="auto"/>
          <w:highlight w:val="none"/>
        </w:rPr>
        <w:fldChar w:fldCharType="begin"/>
      </w:r>
      <w:r>
        <w:rPr>
          <w:rFonts w:hint="eastAsia" w:ascii="Times New Roman" w:hAnsi="Times New Roman"/>
          <w:color w:val="auto"/>
          <w:highlight w:val="none"/>
        </w:rPr>
        <w:instrText xml:space="preserve"> </w:instrText>
      </w:r>
      <w:r>
        <w:rPr>
          <w:rFonts w:ascii="Times New Roman" w:hAnsi="Times New Roman"/>
          <w:color w:val="auto"/>
          <w:highlight w:val="none"/>
        </w:rPr>
        <w:instrText xml:space="preserve">PAGEREF _Toc233018512 \h</w:instrText>
      </w:r>
      <w:r>
        <w:rPr>
          <w:rFonts w:hint="eastAsia" w:ascii="Times New Roman" w:hAnsi="Times New Roman"/>
          <w:color w:val="auto"/>
          <w:highlight w:val="none"/>
        </w:rPr>
        <w:instrText xml:space="preserve"> </w:instrText>
      </w:r>
      <w:r>
        <w:rPr>
          <w:rFonts w:hint="eastAsia" w:ascii="Times New Roman" w:hAnsi="Times New Roman"/>
          <w:color w:val="auto"/>
          <w:highlight w:val="none"/>
        </w:rPr>
        <w:fldChar w:fldCharType="separate"/>
      </w:r>
      <w:r>
        <w:rPr>
          <w:rFonts w:ascii="Times New Roman" w:hAnsi="Times New Roman"/>
          <w:color w:val="auto"/>
          <w:highlight w:val="none"/>
        </w:rPr>
        <w:t>5</w:t>
      </w:r>
      <w:r>
        <w:rPr>
          <w:rFonts w:hint="eastAsia" w:ascii="Times New Roman" w:hAnsi="Times New Roman"/>
          <w:color w:val="auto"/>
          <w:highlight w:val="none"/>
        </w:rPr>
        <w:fldChar w:fldCharType="end"/>
      </w:r>
      <w:r>
        <w:rPr>
          <w:rFonts w:hint="eastAsia" w:ascii="Times New Roman" w:hAnsi="Times New Roman"/>
          <w:color w:val="auto"/>
          <w:highlight w:val="none"/>
        </w:rPr>
        <w:fldChar w:fldCharType="end"/>
      </w:r>
    </w:p>
    <w:p w14:paraId="6C8C8A54">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"_Toc233018513"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3.1  工艺与设备</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_Toc233018513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5</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66A3B651">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"_Toc233018514"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3.2  生产厂房</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_Toc233018514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6</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319640BB">
      <w:pPr>
        <w:pStyle w:val="13"/>
        <w:adjustRightInd w:val="0"/>
        <w:snapToGrid w:val="0"/>
        <w:spacing w:line="360" w:lineRule="auto"/>
        <w:rPr>
          <w:rFonts w:ascii="Times New Roman" w:hAnsi="Times New Roman" w:cstheme="minorBidi"/>
          <w:color w:val="auto"/>
          <w:szCs w:val="24"/>
          <w:highlight w:val="none"/>
          <w14:ligatures w14:val="standardContextual"/>
        </w:rPr>
      </w:pPr>
      <w:r>
        <w:rPr>
          <w:rFonts w:hint="eastAsia" w:ascii="Times New Roman" w:hAnsi="Times New Roman"/>
          <w:color w:val="auto"/>
          <w:highlight w:val="none"/>
        </w:rPr>
        <w:fldChar w:fldCharType="begin"/>
      </w:r>
      <w:r>
        <w:rPr>
          <w:rFonts w:ascii="Times New Roman" w:hAnsi="Times New Roman"/>
          <w:color w:val="auto"/>
          <w:highlight w:val="none"/>
        </w:rPr>
        <w:instrText xml:space="preserve"> HYPERLINK \l "_Toc233018515" </w:instrText>
      </w:r>
      <w:r>
        <w:rPr>
          <w:rFonts w:hint="eastAsia" w:ascii="Times New Roman" w:hAnsi="Times New Roman"/>
          <w:color w:val="auto"/>
          <w:highlight w:val="none"/>
        </w:rPr>
        <w:fldChar w:fldCharType="separate"/>
      </w:r>
      <w:r>
        <w:rPr>
          <w:rStyle w:val="22"/>
          <w:rFonts w:ascii="Times New Roman" w:hAnsi="Times New Roman"/>
          <w:color w:val="auto"/>
          <w:kern w:val="44"/>
          <w:highlight w:val="none"/>
        </w:rPr>
        <w:t>4  处置设施</w:t>
      </w:r>
      <w:r>
        <w:rPr>
          <w:rFonts w:hint="eastAsia" w:ascii="Times New Roman" w:hAnsi="Times New Roman"/>
          <w:color w:val="auto"/>
          <w:highlight w:val="none"/>
        </w:rPr>
        <w:tab/>
      </w:r>
      <w:r>
        <w:rPr>
          <w:rFonts w:hint="eastAsia" w:ascii="Times New Roman" w:hAnsi="Times New Roman"/>
          <w:color w:val="auto"/>
          <w:highlight w:val="none"/>
        </w:rPr>
        <w:fldChar w:fldCharType="begin"/>
      </w:r>
      <w:r>
        <w:rPr>
          <w:rFonts w:hint="eastAsia" w:ascii="Times New Roman" w:hAnsi="Times New Roman"/>
          <w:color w:val="auto"/>
          <w:highlight w:val="none"/>
        </w:rPr>
        <w:instrText xml:space="preserve"> </w:instrText>
      </w:r>
      <w:r>
        <w:rPr>
          <w:rFonts w:ascii="Times New Roman" w:hAnsi="Times New Roman"/>
          <w:color w:val="auto"/>
          <w:highlight w:val="none"/>
        </w:rPr>
        <w:instrText xml:space="preserve">PAGEREF _Toc233018515 \h</w:instrText>
      </w:r>
      <w:r>
        <w:rPr>
          <w:rFonts w:hint="eastAsia" w:ascii="Times New Roman" w:hAnsi="Times New Roman"/>
          <w:color w:val="auto"/>
          <w:highlight w:val="none"/>
        </w:rPr>
        <w:instrText xml:space="preserve"> </w:instrText>
      </w:r>
      <w:r>
        <w:rPr>
          <w:rFonts w:hint="eastAsia" w:ascii="Times New Roman" w:hAnsi="Times New Roman"/>
          <w:color w:val="auto"/>
          <w:highlight w:val="none"/>
        </w:rPr>
        <w:fldChar w:fldCharType="separate"/>
      </w:r>
      <w:r>
        <w:rPr>
          <w:rFonts w:ascii="Times New Roman" w:hAnsi="Times New Roman"/>
          <w:color w:val="auto"/>
          <w:highlight w:val="none"/>
        </w:rPr>
        <w:t>9</w:t>
      </w:r>
      <w:r>
        <w:rPr>
          <w:rFonts w:hint="eastAsia" w:ascii="Times New Roman" w:hAnsi="Times New Roman"/>
          <w:color w:val="auto"/>
          <w:highlight w:val="none"/>
        </w:rPr>
        <w:fldChar w:fldCharType="end"/>
      </w:r>
      <w:r>
        <w:rPr>
          <w:rFonts w:hint="eastAsia" w:ascii="Times New Roman" w:hAnsi="Times New Roman"/>
          <w:color w:val="auto"/>
          <w:highlight w:val="none"/>
        </w:rPr>
        <w:fldChar w:fldCharType="end"/>
      </w:r>
    </w:p>
    <w:p w14:paraId="6C3E10B6">
      <w:pPr>
        <w:pStyle w:val="13"/>
        <w:adjustRightInd w:val="0"/>
        <w:snapToGrid w:val="0"/>
        <w:spacing w:line="360" w:lineRule="auto"/>
        <w:rPr>
          <w:rFonts w:ascii="Times New Roman" w:hAnsi="Times New Roman" w:cstheme="minorBidi"/>
          <w:color w:val="auto"/>
          <w:szCs w:val="24"/>
          <w:highlight w:val="none"/>
          <w14:ligatures w14:val="standardContextual"/>
        </w:rPr>
      </w:pPr>
      <w:r>
        <w:rPr>
          <w:rFonts w:hint="eastAsia" w:ascii="Times New Roman" w:hAnsi="Times New Roman"/>
          <w:color w:val="auto"/>
          <w:highlight w:val="none"/>
        </w:rPr>
        <w:fldChar w:fldCharType="begin"/>
      </w:r>
      <w:r>
        <w:rPr>
          <w:rFonts w:ascii="Times New Roman" w:hAnsi="Times New Roman"/>
          <w:color w:val="auto"/>
          <w:highlight w:val="none"/>
        </w:rPr>
        <w:instrText xml:space="preserve"> HYPERLINK \l "_Toc233018516" </w:instrText>
      </w:r>
      <w:r>
        <w:rPr>
          <w:rFonts w:hint="eastAsia" w:ascii="Times New Roman" w:hAnsi="Times New Roman"/>
          <w:color w:val="auto"/>
          <w:highlight w:val="none"/>
        </w:rPr>
        <w:fldChar w:fldCharType="separate"/>
      </w:r>
      <w:r>
        <w:rPr>
          <w:rStyle w:val="22"/>
          <w:rFonts w:ascii="Times New Roman" w:hAnsi="Times New Roman"/>
          <w:color w:val="auto"/>
          <w:kern w:val="44"/>
          <w:highlight w:val="none"/>
        </w:rPr>
        <w:t>5  辅助与配套设施</w:t>
      </w:r>
      <w:r>
        <w:rPr>
          <w:rFonts w:hint="eastAsia" w:ascii="Times New Roman" w:hAnsi="Times New Roman"/>
          <w:color w:val="auto"/>
          <w:highlight w:val="none"/>
        </w:rPr>
        <w:tab/>
      </w:r>
      <w:r>
        <w:rPr>
          <w:rFonts w:hint="eastAsia" w:ascii="Times New Roman" w:hAnsi="Times New Roman"/>
          <w:color w:val="auto"/>
          <w:highlight w:val="none"/>
        </w:rPr>
        <w:fldChar w:fldCharType="begin"/>
      </w:r>
      <w:r>
        <w:rPr>
          <w:rFonts w:hint="eastAsia" w:ascii="Times New Roman" w:hAnsi="Times New Roman"/>
          <w:color w:val="auto"/>
          <w:highlight w:val="none"/>
        </w:rPr>
        <w:instrText xml:space="preserve"> </w:instrText>
      </w:r>
      <w:r>
        <w:rPr>
          <w:rFonts w:ascii="Times New Roman" w:hAnsi="Times New Roman"/>
          <w:color w:val="auto"/>
          <w:highlight w:val="none"/>
        </w:rPr>
        <w:instrText xml:space="preserve">PAGEREF _Toc233018516 \h</w:instrText>
      </w:r>
      <w:r>
        <w:rPr>
          <w:rFonts w:hint="eastAsia" w:ascii="Times New Roman" w:hAnsi="Times New Roman"/>
          <w:color w:val="auto"/>
          <w:highlight w:val="none"/>
        </w:rPr>
        <w:instrText xml:space="preserve"> </w:instrText>
      </w:r>
      <w:r>
        <w:rPr>
          <w:rFonts w:hint="eastAsia" w:ascii="Times New Roman" w:hAnsi="Times New Roman"/>
          <w:color w:val="auto"/>
          <w:highlight w:val="none"/>
        </w:rPr>
        <w:fldChar w:fldCharType="separate"/>
      </w:r>
      <w:r>
        <w:rPr>
          <w:rFonts w:ascii="Times New Roman" w:hAnsi="Times New Roman"/>
          <w:color w:val="auto"/>
          <w:highlight w:val="none"/>
        </w:rPr>
        <w:t>10</w:t>
      </w:r>
      <w:r>
        <w:rPr>
          <w:rFonts w:hint="eastAsia" w:ascii="Times New Roman" w:hAnsi="Times New Roman"/>
          <w:color w:val="auto"/>
          <w:highlight w:val="none"/>
        </w:rPr>
        <w:fldChar w:fldCharType="end"/>
      </w:r>
      <w:r>
        <w:rPr>
          <w:rFonts w:hint="eastAsia" w:ascii="Times New Roman" w:hAnsi="Times New Roman"/>
          <w:color w:val="auto"/>
          <w:highlight w:val="none"/>
        </w:rPr>
        <w:fldChar w:fldCharType="end"/>
      </w:r>
    </w:p>
    <w:p w14:paraId="2413FA99">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"_Toc233018517"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5.1  辅助设施</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_Toc233018517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10</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2D818963">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r>
        <w:rPr>
          <w:rFonts w:hint="eastAsia" w:ascii="Times New Roman" w:hAnsi="Times New Roman" w:eastAsia="宋体"/>
          <w:color w:val="auto"/>
          <w:sz w:val="28"/>
          <w:highlight w:val="none"/>
        </w:rPr>
        <w:fldChar w:fldCharType="begin"/>
      </w:r>
      <w:r>
        <w:rPr>
          <w:rFonts w:ascii="Times New Roman" w:hAnsi="Times New Roman" w:eastAsia="宋体"/>
          <w:color w:val="auto"/>
          <w:sz w:val="28"/>
          <w:highlight w:val="none"/>
        </w:rPr>
        <w:instrText xml:space="preserve"> HYPERLINK \l "_Toc233018518" </w:instrText>
      </w:r>
      <w:r>
        <w:rPr>
          <w:rFonts w:hint="eastAsia" w:ascii="Times New Roman" w:hAnsi="Times New Roman" w:eastAsia="宋体"/>
          <w:color w:val="auto"/>
          <w:sz w:val="28"/>
          <w:highlight w:val="none"/>
        </w:rPr>
        <w:fldChar w:fldCharType="separate"/>
      </w:r>
      <w:r>
        <w:rPr>
          <w:rStyle w:val="22"/>
          <w:rFonts w:ascii="Times New Roman" w:hAnsi="Times New Roman" w:eastAsia="宋体"/>
          <w:iCs/>
          <w:color w:val="auto"/>
          <w:kern w:val="0"/>
          <w:sz w:val="28"/>
          <w:szCs w:val="28"/>
          <w:highlight w:val="none"/>
        </w:rPr>
        <w:t>5.2  配套设施</w:t>
      </w:r>
      <w:r>
        <w:rPr>
          <w:rFonts w:hint="eastAsia" w:ascii="Times New Roman" w:hAnsi="Times New Roman" w:eastAsia="宋体"/>
          <w:color w:val="auto"/>
          <w:sz w:val="28"/>
          <w:szCs w:val="28"/>
          <w:highlight w:val="none"/>
        </w:rPr>
        <w:tab/>
      </w:r>
      <w:r>
        <w:rPr>
          <w:rFonts w:hint="eastAsia" w:ascii="Times New Roman" w:hAnsi="Times New Roman" w:eastAsia="宋体"/>
          <w:color w:val="auto"/>
          <w:sz w:val="28"/>
          <w:szCs w:val="28"/>
          <w:highlight w:val="none"/>
        </w:rPr>
        <w:fldChar w:fldCharType="begin"/>
      </w:r>
      <w:r>
        <w:rPr>
          <w:rFonts w:hint="eastAsia" w:ascii="Times New Roman" w:hAnsi="Times New Roman" w:eastAsia="宋体"/>
          <w:color w:val="auto"/>
          <w:sz w:val="28"/>
          <w:szCs w:val="28"/>
          <w:highlight w:val="none"/>
        </w:rPr>
        <w:instrText xml:space="preserve"> </w:instrText>
      </w:r>
      <w:r>
        <w:rPr>
          <w:rFonts w:ascii="Times New Roman" w:hAnsi="Times New Roman" w:eastAsia="宋体"/>
          <w:color w:val="auto"/>
          <w:sz w:val="28"/>
          <w:szCs w:val="28"/>
          <w:highlight w:val="none"/>
        </w:rPr>
        <w:instrText xml:space="preserve">PAGEREF _Toc233018518 \h</w:instrText>
      </w:r>
      <w:r>
        <w:rPr>
          <w:rFonts w:hint="eastAsia" w:ascii="Times New Roman" w:hAnsi="Times New Roman" w:eastAsia="宋体"/>
          <w:color w:val="auto"/>
          <w:sz w:val="28"/>
          <w:szCs w:val="28"/>
          <w:highlight w:val="none"/>
        </w:rPr>
        <w:instrText xml:space="preserve"> </w:instrText>
      </w:r>
      <w:r>
        <w:rPr>
          <w:rFonts w:hint="eastAsia" w:ascii="Times New Roman" w:hAnsi="Times New Roman" w:eastAsia="宋体"/>
          <w:color w:val="auto"/>
          <w:sz w:val="28"/>
          <w:szCs w:val="28"/>
          <w:highlight w:val="none"/>
        </w:rPr>
        <w:fldChar w:fldCharType="separate"/>
      </w:r>
      <w:r>
        <w:rPr>
          <w:rFonts w:ascii="Times New Roman" w:hAnsi="Times New Roman" w:eastAsia="宋体"/>
          <w:color w:val="auto"/>
          <w:sz w:val="28"/>
          <w:szCs w:val="28"/>
          <w:highlight w:val="none"/>
        </w:rPr>
        <w:t>11</w:t>
      </w:r>
      <w:r>
        <w:rPr>
          <w:rFonts w:hint="eastAsia" w:ascii="Times New Roman" w:hAnsi="Times New Roman" w:eastAsia="宋体"/>
          <w:color w:val="auto"/>
          <w:sz w:val="28"/>
          <w:szCs w:val="28"/>
          <w:highlight w:val="none"/>
        </w:rPr>
        <w:fldChar w:fldCharType="end"/>
      </w:r>
      <w:r>
        <w:rPr>
          <w:rFonts w:hint="eastAsia" w:ascii="Times New Roman" w:hAnsi="Times New Roman" w:eastAsia="宋体"/>
          <w:color w:val="auto"/>
          <w:sz w:val="28"/>
          <w:szCs w:val="28"/>
          <w:highlight w:val="none"/>
        </w:rPr>
        <w:fldChar w:fldCharType="end"/>
      </w:r>
    </w:p>
    <w:p w14:paraId="5D807195">
      <w:pPr>
        <w:pStyle w:val="13"/>
        <w:adjustRightInd w:val="0"/>
        <w:snapToGrid w:val="0"/>
        <w:spacing w:line="360" w:lineRule="auto"/>
        <w:rPr>
          <w:rFonts w:ascii="Times New Roman" w:hAnsi="Times New Roman" w:cstheme="minorBidi"/>
          <w:color w:val="auto"/>
          <w:szCs w:val="24"/>
          <w:highlight w:val="none"/>
          <w14:ligatures w14:val="standardContextual"/>
        </w:rPr>
      </w:pPr>
    </w:p>
    <w:p w14:paraId="18470C71">
      <w:pPr>
        <w:pStyle w:val="14"/>
        <w:tabs>
          <w:tab w:val="right" w:leader="dot" w:pos="8296"/>
        </w:tabs>
        <w:adjustRightInd w:val="0"/>
        <w:snapToGrid w:val="0"/>
        <w:spacing w:line="360" w:lineRule="auto"/>
        <w:rPr>
          <w:rFonts w:ascii="Times New Roman" w:hAnsi="Times New Roman" w:eastAsia="宋体" w:cstheme="minorBidi"/>
          <w:color w:val="auto"/>
          <w:sz w:val="28"/>
          <w:szCs w:val="28"/>
          <w:highlight w:val="none"/>
          <w14:ligatures w14:val="standardContextual"/>
        </w:rPr>
      </w:pPr>
    </w:p>
    <w:p w14:paraId="1DBC6A13">
      <w:pPr>
        <w:adjustRightInd w:val="0"/>
        <w:snapToGrid w:val="0"/>
        <w:spacing w:line="360" w:lineRule="auto"/>
        <w:rPr>
          <w:rFonts w:ascii="Times New Roman" w:hAnsi="Times New Roman" w:eastAsia="宋体"/>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宋体" w:cs="宋体"/>
          <w:bCs/>
          <w:color w:val="auto"/>
          <w:sz w:val="28"/>
          <w:szCs w:val="24"/>
          <w:highlight w:val="none"/>
          <w:lang w:val="zh-CN"/>
        </w:rPr>
        <w:fldChar w:fldCharType="end"/>
      </w:r>
      <w:r>
        <w:rPr>
          <w:rFonts w:ascii="Times New Roman" w:hAnsi="Times New Roman" w:eastAsia="宋体"/>
          <w:color w:val="auto"/>
          <w:sz w:val="28"/>
          <w:szCs w:val="28"/>
          <w:highlight w:val="none"/>
        </w:rPr>
        <w:br w:type="page"/>
      </w:r>
    </w:p>
    <w:p w14:paraId="603E0B74">
      <w:pPr>
        <w:tabs>
          <w:tab w:val="right" w:leader="dot" w:pos="8931"/>
        </w:tabs>
        <w:adjustRightInd w:val="0"/>
        <w:snapToGrid w:val="0"/>
        <w:spacing w:line="360" w:lineRule="auto"/>
        <w:jc w:val="center"/>
        <w:outlineLvl w:val="0"/>
        <w:rPr>
          <w:rFonts w:ascii="Times New Roman" w:hAnsi="Times New Roman" w:eastAsia="宋体"/>
          <w:b/>
          <w:bCs/>
          <w:color w:val="auto"/>
          <w:kern w:val="44"/>
          <w:sz w:val="28"/>
          <w:szCs w:val="32"/>
          <w:highlight w:val="none"/>
        </w:rPr>
      </w:pPr>
      <w:bookmarkStart w:id="0" w:name="_Toc150330030"/>
      <w:bookmarkStart w:id="1" w:name="_Toc232688056"/>
      <w:bookmarkStart w:id="2" w:name="_Toc233018507"/>
      <w:bookmarkStart w:id="3" w:name="_Toc230621642"/>
      <w:r>
        <w:rPr>
          <w:rFonts w:hint="eastAsia" w:ascii="Times New Roman" w:hAnsi="Times New Roman" w:eastAsia="宋体"/>
          <w:b/>
          <w:bCs/>
          <w:color w:val="auto"/>
          <w:kern w:val="44"/>
          <w:sz w:val="28"/>
          <w:szCs w:val="32"/>
          <w:highlight w:val="none"/>
        </w:rPr>
        <w:t>1  总则</w:t>
      </w:r>
      <w:bookmarkEnd w:id="0"/>
      <w:bookmarkEnd w:id="1"/>
      <w:bookmarkEnd w:id="2"/>
      <w:bookmarkEnd w:id="3"/>
    </w:p>
    <w:p w14:paraId="3A30D51D">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1.0.1</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为在电池生产与处置工程项目中保障人身健康和生命财产安全、生态环境安全，促进能源资源节约利用，满足经济社会管理基本需要，制定本规范。</w:t>
      </w:r>
    </w:p>
    <w:p w14:paraId="09D0524D">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1.0.2</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电池生产与处置工程项目必须执行本规范。本规范不适用于下列工程项目</w:t>
      </w:r>
      <w:r>
        <w:rPr>
          <w:rFonts w:hint="eastAsia" w:ascii="Times New Roman" w:hAnsi="Times New Roman" w:eastAsia="宋体"/>
          <w:color w:val="auto"/>
          <w:sz w:val="28"/>
          <w:szCs w:val="24"/>
          <w:highlight w:val="none"/>
        </w:rPr>
        <w:t>：</w:t>
      </w:r>
    </w:p>
    <w:p w14:paraId="17F21397">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1</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电池材料的生产和制备项目；</w:t>
      </w:r>
    </w:p>
    <w:p w14:paraId="3CE64380">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废旧电池回收以及回收渠道所设的分拣、贮存项目；</w:t>
      </w:r>
    </w:p>
    <w:p w14:paraId="68B84F74">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3</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 xml:space="preserve"> 废电池处置后的材料加工、精炼项目。</w:t>
      </w:r>
    </w:p>
    <w:p w14:paraId="01CCF9B3">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1.0.3</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电池生产与处置工程建设和运行应遵循适宜、可靠、安全、环境友好和资源节约的原则</w:t>
      </w:r>
      <w:r>
        <w:rPr>
          <w:rFonts w:hint="eastAsia" w:ascii="Times New Roman" w:hAnsi="Times New Roman" w:eastAsia="宋体"/>
          <w:color w:val="auto"/>
          <w:sz w:val="28"/>
          <w:szCs w:val="24"/>
          <w:highlight w:val="none"/>
        </w:rPr>
        <w:t>。</w:t>
      </w:r>
    </w:p>
    <w:p w14:paraId="2F93F25D">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1.0.4 </w:t>
      </w:r>
      <w:r>
        <w:rPr>
          <w:rFonts w:hint="eastAsia" w:ascii="Times New Roman" w:hAnsi="Times New Roman" w:eastAsia="宋体"/>
          <w:color w:val="auto"/>
          <w:sz w:val="28"/>
          <w:szCs w:val="24"/>
          <w:highlight w:val="none"/>
        </w:rPr>
        <w:t xml:space="preserve"> 电池生产与处置工程建设所采用的技术方法和措施是否符合本规范要求，由相关责任主体判定。其中，创新性的技术方法和措施，应进行论证并符合本规范中有关性能的要求</w:t>
      </w:r>
      <w:r>
        <w:rPr>
          <w:rFonts w:ascii="Times New Roman" w:hAnsi="Times New Roman" w:eastAsia="宋体"/>
          <w:color w:val="auto"/>
          <w:sz w:val="28"/>
          <w:szCs w:val="24"/>
          <w:highlight w:val="none"/>
        </w:rPr>
        <w:t>。</w:t>
      </w:r>
    </w:p>
    <w:p w14:paraId="59C5A550">
      <w:pPr>
        <w:widowControl/>
        <w:adjustRightInd w:val="0"/>
        <w:snapToGrid w:val="0"/>
        <w:spacing w:line="360" w:lineRule="auto"/>
        <w:jc w:val="left"/>
        <w:rPr>
          <w:rFonts w:ascii="Times New Roman" w:hAnsi="Times New Roman" w:eastAsia="宋体"/>
          <w:color w:val="auto"/>
          <w:kern w:val="0"/>
          <w:sz w:val="28"/>
          <w:szCs w:val="28"/>
          <w:highlight w:val="none"/>
        </w:rPr>
      </w:pPr>
      <w:r>
        <w:rPr>
          <w:rFonts w:ascii="Times New Roman" w:hAnsi="Times New Roman" w:eastAsia="宋体"/>
          <w:color w:val="auto"/>
          <w:kern w:val="0"/>
          <w:sz w:val="28"/>
          <w:szCs w:val="28"/>
          <w:highlight w:val="none"/>
        </w:rPr>
        <w:br w:type="page"/>
      </w:r>
    </w:p>
    <w:p w14:paraId="0E63E281">
      <w:pPr>
        <w:pStyle w:val="40"/>
        <w:numPr>
          <w:ilvl w:val="2"/>
          <w:numId w:val="1"/>
        </w:numPr>
        <w:autoSpaceDE w:val="0"/>
        <w:autoSpaceDN w:val="0"/>
        <w:adjustRightInd w:val="0"/>
        <w:snapToGrid w:val="0"/>
        <w:spacing w:line="360" w:lineRule="auto"/>
        <w:ind w:firstLineChars="0"/>
        <w:rPr>
          <w:rFonts w:ascii="Times New Roman" w:hAnsi="Times New Roman" w:eastAsia="宋体"/>
          <w:color w:val="auto"/>
          <w:kern w:val="0"/>
          <w:sz w:val="28"/>
          <w:szCs w:val="28"/>
          <w:highlight w:val="none"/>
        </w:rPr>
        <w:sectPr>
          <w:footerReference r:id="rId4" w:type="default"/>
          <w:pgSz w:w="11906" w:h="16838"/>
          <w:pgMar w:top="1440" w:right="1800" w:bottom="1440" w:left="1800" w:header="851" w:footer="992" w:gutter="0"/>
          <w:pgNumType w:start="1"/>
          <w:cols w:space="720" w:num="1"/>
          <w:docGrid w:type="lines" w:linePitch="312" w:charSpace="0"/>
        </w:sectPr>
      </w:pPr>
    </w:p>
    <w:p w14:paraId="28F52CAE">
      <w:pPr>
        <w:tabs>
          <w:tab w:val="right" w:leader="dot" w:pos="8931"/>
        </w:tabs>
        <w:adjustRightInd w:val="0"/>
        <w:snapToGrid w:val="0"/>
        <w:spacing w:before="0" w:after="0" w:line="360" w:lineRule="auto"/>
        <w:jc w:val="center"/>
        <w:outlineLvl w:val="0"/>
        <w:rPr>
          <w:rFonts w:ascii="Times New Roman" w:hAnsi="Times New Roman" w:eastAsia="宋体"/>
          <w:b/>
          <w:bCs/>
          <w:color w:val="auto"/>
          <w:kern w:val="44"/>
          <w:sz w:val="28"/>
          <w:szCs w:val="32"/>
          <w:highlight w:val="none"/>
        </w:rPr>
      </w:pPr>
      <w:bookmarkStart w:id="4" w:name="_Toc232688057"/>
      <w:bookmarkStart w:id="5" w:name="_Toc230621643"/>
      <w:bookmarkStart w:id="6" w:name="_Toc233018508"/>
      <w:r>
        <w:rPr>
          <w:rFonts w:ascii="Times New Roman" w:hAnsi="Times New Roman" w:eastAsia="宋体"/>
          <w:b/>
          <w:bCs/>
          <w:color w:val="auto"/>
          <w:kern w:val="44"/>
          <w:sz w:val="28"/>
          <w:szCs w:val="32"/>
          <w:highlight w:val="none"/>
        </w:rPr>
        <w:t xml:space="preserve">2  </w:t>
      </w:r>
      <w:bookmarkStart w:id="7" w:name="_Toc29978964"/>
      <w:bookmarkStart w:id="8" w:name="_Toc150330031"/>
      <w:r>
        <w:rPr>
          <w:rFonts w:hint="eastAsia" w:ascii="Times New Roman" w:hAnsi="Times New Roman" w:eastAsia="宋体"/>
          <w:b/>
          <w:bCs/>
          <w:color w:val="auto"/>
          <w:kern w:val="44"/>
          <w:sz w:val="28"/>
          <w:szCs w:val="32"/>
          <w:highlight w:val="none"/>
        </w:rPr>
        <w:t>基本规定</w:t>
      </w:r>
      <w:bookmarkEnd w:id="4"/>
      <w:bookmarkEnd w:id="5"/>
      <w:bookmarkEnd w:id="6"/>
      <w:bookmarkEnd w:id="7"/>
      <w:bookmarkEnd w:id="8"/>
    </w:p>
    <w:p w14:paraId="60BFE36E">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s="Times New Roman"/>
          <w:b/>
          <w:bCs/>
          <w:iCs/>
          <w:color w:val="auto"/>
          <w:kern w:val="0"/>
          <w:sz w:val="28"/>
          <w:szCs w:val="28"/>
          <w:highlight w:val="none"/>
        </w:rPr>
      </w:pPr>
      <w:bookmarkStart w:id="9" w:name="_Toc230621644"/>
      <w:bookmarkStart w:id="10" w:name="_Toc233018509"/>
      <w:bookmarkStart w:id="11" w:name="_Toc232688058"/>
      <w:r>
        <w:rPr>
          <w:rFonts w:ascii="Times New Roman" w:hAnsi="Times New Roman" w:eastAsia="宋体" w:cs="Times New Roman"/>
          <w:b/>
          <w:bCs/>
          <w:iCs/>
          <w:color w:val="auto"/>
          <w:kern w:val="0"/>
          <w:sz w:val="28"/>
          <w:szCs w:val="28"/>
          <w:highlight w:val="none"/>
        </w:rPr>
        <w:t xml:space="preserve">2.1 </w:t>
      </w:r>
      <w:r>
        <w:rPr>
          <w:rFonts w:hint="eastAsia" w:ascii="Times New Roman" w:hAnsi="Times New Roman" w:eastAsia="宋体" w:cs="Times New Roman"/>
          <w:iCs/>
          <w:color w:val="auto"/>
          <w:kern w:val="0"/>
          <w:sz w:val="28"/>
          <w:szCs w:val="28"/>
          <w:highlight w:val="none"/>
        </w:rPr>
        <w:t xml:space="preserve"> </w:t>
      </w:r>
      <w:r>
        <w:rPr>
          <w:rFonts w:hint="eastAsia" w:ascii="Times New Roman" w:hAnsi="Times New Roman" w:eastAsia="宋体" w:cs="Times New Roman"/>
          <w:b/>
          <w:bCs/>
          <w:iCs/>
          <w:color w:val="auto"/>
          <w:kern w:val="0"/>
          <w:sz w:val="28"/>
          <w:szCs w:val="28"/>
          <w:highlight w:val="none"/>
        </w:rPr>
        <w:t>规划与布局</w:t>
      </w:r>
      <w:bookmarkEnd w:id="9"/>
      <w:bookmarkEnd w:id="10"/>
      <w:bookmarkEnd w:id="11"/>
    </w:p>
    <w:p w14:paraId="6423D752">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 xml:space="preserve">  电池生产与处置工程项目的选址应符合</w:t>
      </w:r>
      <w:r>
        <w:rPr>
          <w:rFonts w:hint="eastAsia" w:ascii="Times New Roman" w:hAnsi="Times New Roman" w:eastAsia="宋体"/>
          <w:color w:val="auto"/>
          <w:sz w:val="28"/>
          <w:szCs w:val="24"/>
          <w:highlight w:val="none"/>
        </w:rPr>
        <w:t>项目</w:t>
      </w:r>
      <w:r>
        <w:rPr>
          <w:rFonts w:ascii="Times New Roman" w:hAnsi="Times New Roman" w:eastAsia="宋体"/>
          <w:color w:val="auto"/>
          <w:sz w:val="28"/>
          <w:szCs w:val="24"/>
          <w:highlight w:val="none"/>
        </w:rPr>
        <w:t>所在地</w:t>
      </w:r>
      <w:r>
        <w:rPr>
          <w:rFonts w:hint="eastAsia" w:ascii="Times New Roman" w:hAnsi="Times New Roman" w:eastAsia="宋体"/>
          <w:color w:val="auto"/>
          <w:sz w:val="28"/>
          <w:szCs w:val="24"/>
          <w:highlight w:val="none"/>
        </w:rPr>
        <w:t>国土空间规划、</w:t>
      </w:r>
      <w:r>
        <w:rPr>
          <w:rFonts w:ascii="Times New Roman" w:hAnsi="Times New Roman" w:eastAsia="宋体"/>
          <w:color w:val="auto"/>
          <w:sz w:val="28"/>
          <w:szCs w:val="24"/>
          <w:highlight w:val="none"/>
        </w:rPr>
        <w:t>产业</w:t>
      </w:r>
      <w:r>
        <w:rPr>
          <w:rFonts w:hint="eastAsia" w:ascii="Times New Roman" w:hAnsi="Times New Roman" w:eastAsia="宋体"/>
          <w:color w:val="auto"/>
          <w:sz w:val="28"/>
          <w:szCs w:val="24"/>
          <w:highlight w:val="none"/>
        </w:rPr>
        <w:t>定位及准入条件的</w:t>
      </w:r>
      <w:r>
        <w:rPr>
          <w:rFonts w:ascii="Times New Roman" w:hAnsi="Times New Roman" w:eastAsia="宋体"/>
          <w:color w:val="auto"/>
          <w:sz w:val="28"/>
          <w:szCs w:val="24"/>
          <w:highlight w:val="none"/>
        </w:rPr>
        <w:t>要求</w:t>
      </w:r>
      <w:r>
        <w:rPr>
          <w:rFonts w:hint="eastAsia" w:ascii="Times New Roman" w:hAnsi="Times New Roman" w:eastAsia="宋体"/>
          <w:color w:val="auto"/>
          <w:sz w:val="28"/>
          <w:szCs w:val="24"/>
          <w:highlight w:val="none"/>
        </w:rPr>
        <w:t>，且不应选择在下列区域：</w:t>
      </w:r>
    </w:p>
    <w:p w14:paraId="1A17F831">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1 对建筑抗震危险的地带；</w:t>
      </w:r>
    </w:p>
    <w:p w14:paraId="53F7031B">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 洪泛区和蓄滞洪区；</w:t>
      </w:r>
    </w:p>
    <w:p w14:paraId="19CD6E54">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3 地质灾害危险区；</w:t>
      </w:r>
    </w:p>
    <w:p w14:paraId="346279A5">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4 永久基本农田；</w:t>
      </w:r>
    </w:p>
    <w:p w14:paraId="70B5DF9D">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5 生态保护红线范围内。</w:t>
      </w:r>
    </w:p>
    <w:p w14:paraId="5000339A">
      <w:pPr>
        <w:pStyle w:val="40"/>
        <w:widowControl/>
        <w:shd w:val="clear" w:color="auto" w:fill="FFFFFF"/>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 xml:space="preserve">  </w:t>
      </w:r>
      <w:r>
        <w:rPr>
          <w:rFonts w:ascii="Times New Roman" w:hAnsi="Times New Roman" w:eastAsia="宋体"/>
          <w:color w:val="auto"/>
          <w:sz w:val="28"/>
          <w:szCs w:val="24"/>
          <w:highlight w:val="none"/>
        </w:rPr>
        <w:t>新能源汽车废旧动力电池和铅蓄电池处</w:t>
      </w:r>
      <w:r>
        <w:rPr>
          <w:rFonts w:hint="eastAsia" w:ascii="Times New Roman" w:hAnsi="Times New Roman" w:eastAsia="宋体"/>
          <w:color w:val="auto"/>
          <w:sz w:val="28"/>
          <w:szCs w:val="24"/>
          <w:highlight w:val="none"/>
        </w:rPr>
        <w:t>置工程项目</w:t>
      </w:r>
      <w:r>
        <w:rPr>
          <w:rFonts w:ascii="Times New Roman" w:hAnsi="Times New Roman" w:eastAsia="宋体"/>
          <w:color w:val="auto"/>
          <w:sz w:val="28"/>
          <w:szCs w:val="24"/>
          <w:highlight w:val="none"/>
        </w:rPr>
        <w:t>应</w:t>
      </w:r>
      <w:r>
        <w:rPr>
          <w:rFonts w:hint="eastAsia" w:ascii="Times New Roman" w:hAnsi="Times New Roman" w:eastAsia="宋体"/>
          <w:color w:val="auto"/>
          <w:sz w:val="28"/>
          <w:szCs w:val="24"/>
          <w:highlight w:val="none"/>
        </w:rPr>
        <w:t>选址在</w:t>
      </w:r>
      <w:r>
        <w:rPr>
          <w:rFonts w:ascii="Times New Roman" w:hAnsi="Times New Roman" w:eastAsia="宋体"/>
          <w:color w:val="auto"/>
          <w:sz w:val="28"/>
          <w:szCs w:val="24"/>
          <w:highlight w:val="none"/>
        </w:rPr>
        <w:t>环保基础设施齐全的产业园</w:t>
      </w:r>
      <w:r>
        <w:rPr>
          <w:rFonts w:hint="eastAsia" w:ascii="Times New Roman" w:hAnsi="Times New Roman" w:eastAsia="宋体"/>
          <w:color w:val="auto"/>
          <w:sz w:val="28"/>
          <w:szCs w:val="24"/>
          <w:highlight w:val="none"/>
        </w:rPr>
        <w:t>，铅蓄电池处置工程项目还应符合地方危废处置专项规划的要求。</w:t>
      </w:r>
    </w:p>
    <w:p w14:paraId="0D617493">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总平面布置应根据生产、处置工艺特点及辅助、配套要求合理划分功能分区，并应符合消防、环境保护、劳动安全卫生的要求。</w:t>
      </w:r>
    </w:p>
    <w:p w14:paraId="4EA31B4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4</w:t>
      </w:r>
      <w:r>
        <w:rPr>
          <w:rFonts w:ascii="Times New Roman" w:hAnsi="Times New Roman" w:eastAsia="宋体"/>
          <w:color w:val="auto"/>
          <w:sz w:val="28"/>
          <w:szCs w:val="24"/>
          <w:highlight w:val="none"/>
        </w:rPr>
        <w:t xml:space="preserve">  存在重金属粉尘排放的生产单元和危险化学品储存设施与人员密集场所或敏感场所的距离，应符合有关防护距离的规定。</w:t>
      </w:r>
    </w:p>
    <w:p w14:paraId="5C0CA80E">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s="Times New Roman"/>
          <w:b/>
          <w:bCs/>
          <w:iCs/>
          <w:color w:val="auto"/>
          <w:kern w:val="0"/>
          <w:sz w:val="28"/>
          <w:szCs w:val="28"/>
          <w:highlight w:val="none"/>
        </w:rPr>
      </w:pPr>
      <w:bookmarkStart w:id="12" w:name="_Toc230621645"/>
      <w:bookmarkStart w:id="13" w:name="_Toc232688059"/>
      <w:bookmarkStart w:id="14" w:name="_Toc233018510"/>
      <w:r>
        <w:rPr>
          <w:rFonts w:ascii="Times New Roman" w:hAnsi="Times New Roman" w:eastAsia="宋体" w:cs="Times New Roman"/>
          <w:b/>
          <w:bCs/>
          <w:iCs/>
          <w:color w:val="auto"/>
          <w:kern w:val="0"/>
          <w:sz w:val="28"/>
          <w:szCs w:val="28"/>
          <w:highlight w:val="none"/>
        </w:rPr>
        <w:t xml:space="preserve">2.2  </w:t>
      </w:r>
      <w:r>
        <w:rPr>
          <w:rFonts w:hint="eastAsia" w:ascii="Times New Roman" w:hAnsi="Times New Roman" w:eastAsia="宋体" w:cs="Times New Roman"/>
          <w:b/>
          <w:bCs/>
          <w:iCs/>
          <w:color w:val="auto"/>
          <w:kern w:val="0"/>
          <w:sz w:val="28"/>
          <w:szCs w:val="28"/>
          <w:highlight w:val="none"/>
        </w:rPr>
        <w:t>建设要求</w:t>
      </w:r>
      <w:bookmarkEnd w:id="12"/>
      <w:bookmarkEnd w:id="13"/>
      <w:bookmarkEnd w:id="14"/>
    </w:p>
    <w:p w14:paraId="6C980EEE">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 xml:space="preserve">.1  </w:t>
      </w:r>
      <w:r>
        <w:rPr>
          <w:rFonts w:hint="eastAsia" w:ascii="Times New Roman" w:hAnsi="Times New Roman" w:eastAsia="宋体"/>
          <w:color w:val="auto"/>
          <w:sz w:val="28"/>
          <w:szCs w:val="24"/>
          <w:highlight w:val="none"/>
        </w:rPr>
        <w:t>电池生产与处置工程项目的建设规模应满足</w:t>
      </w:r>
      <w:r>
        <w:rPr>
          <w:rFonts w:ascii="Times New Roman" w:hAnsi="Times New Roman" w:eastAsia="宋体"/>
          <w:color w:val="auto"/>
          <w:sz w:val="28"/>
          <w:szCs w:val="24"/>
          <w:highlight w:val="none"/>
        </w:rPr>
        <w:t>资源高效配置、促进可持续发展</w:t>
      </w:r>
      <w:r>
        <w:rPr>
          <w:rFonts w:hint="eastAsia" w:ascii="Times New Roman" w:hAnsi="Times New Roman" w:eastAsia="宋体"/>
          <w:color w:val="auto"/>
          <w:sz w:val="28"/>
          <w:szCs w:val="24"/>
          <w:highlight w:val="none"/>
        </w:rPr>
        <w:t>的要求</w:t>
      </w:r>
      <w:r>
        <w:rPr>
          <w:rFonts w:ascii="Times New Roman" w:hAnsi="Times New Roman" w:eastAsia="宋体"/>
          <w:color w:val="auto"/>
          <w:sz w:val="28"/>
          <w:szCs w:val="24"/>
          <w:highlight w:val="none"/>
        </w:rPr>
        <w:t>，并符合国家</w:t>
      </w:r>
      <w:r>
        <w:rPr>
          <w:rFonts w:hint="eastAsia" w:ascii="Times New Roman" w:hAnsi="Times New Roman" w:eastAsia="宋体"/>
          <w:color w:val="auto"/>
          <w:sz w:val="28"/>
          <w:szCs w:val="24"/>
          <w:highlight w:val="none"/>
        </w:rPr>
        <w:t>产业</w:t>
      </w:r>
      <w:r>
        <w:rPr>
          <w:rFonts w:ascii="Times New Roman" w:hAnsi="Times New Roman" w:eastAsia="宋体"/>
          <w:color w:val="auto"/>
          <w:sz w:val="28"/>
          <w:szCs w:val="24"/>
          <w:highlight w:val="none"/>
        </w:rPr>
        <w:t>政策与行业经济规模要求。</w:t>
      </w:r>
    </w:p>
    <w:p w14:paraId="71A8F980">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电池生产与处置工程项目</w:t>
      </w:r>
      <w:r>
        <w:rPr>
          <w:rFonts w:ascii="Times New Roman" w:hAnsi="Times New Roman" w:eastAsia="宋体"/>
          <w:color w:val="auto"/>
          <w:sz w:val="28"/>
          <w:szCs w:val="24"/>
          <w:highlight w:val="none"/>
        </w:rPr>
        <w:t>应包括与设计生产能力相匹配的电池生产</w:t>
      </w:r>
      <w:r>
        <w:rPr>
          <w:rFonts w:hint="eastAsia" w:ascii="Times New Roman" w:hAnsi="Times New Roman" w:eastAsia="宋体"/>
          <w:color w:val="auto"/>
          <w:sz w:val="28"/>
          <w:szCs w:val="24"/>
          <w:highlight w:val="none"/>
        </w:rPr>
        <w:t>、</w:t>
      </w:r>
      <w:r>
        <w:rPr>
          <w:rFonts w:ascii="Times New Roman" w:hAnsi="Times New Roman" w:eastAsia="宋体"/>
          <w:color w:val="auto"/>
          <w:sz w:val="28"/>
          <w:szCs w:val="24"/>
          <w:highlight w:val="none"/>
        </w:rPr>
        <w:t>处置工序，以及相应的动力供应、环境保护、消防、安全</w:t>
      </w:r>
      <w:r>
        <w:rPr>
          <w:rFonts w:hint="eastAsia" w:ascii="Times New Roman" w:hAnsi="Times New Roman" w:eastAsia="宋体"/>
          <w:color w:val="auto"/>
          <w:sz w:val="28"/>
          <w:szCs w:val="24"/>
          <w:highlight w:val="none"/>
        </w:rPr>
        <w:t>生产</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劳动安全卫生</w:t>
      </w:r>
      <w:r>
        <w:rPr>
          <w:rFonts w:ascii="Times New Roman" w:hAnsi="Times New Roman" w:eastAsia="宋体"/>
          <w:color w:val="auto"/>
          <w:sz w:val="28"/>
          <w:szCs w:val="24"/>
          <w:highlight w:val="none"/>
        </w:rPr>
        <w:t>设施。</w:t>
      </w:r>
    </w:p>
    <w:p w14:paraId="10C9C009">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 xml:space="preserve">  电池生产与处置工程项目应具备与生产规模、工艺类型及危险物质特性相适应的安全性能。</w:t>
      </w:r>
    </w:p>
    <w:p w14:paraId="444A6FD3">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2.2.4</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电池生产</w:t>
      </w:r>
      <w:r>
        <w:rPr>
          <w:rFonts w:hint="eastAsia" w:ascii="Times New Roman" w:hAnsi="Times New Roman" w:eastAsia="宋体"/>
          <w:color w:val="auto"/>
          <w:sz w:val="28"/>
          <w:szCs w:val="24"/>
          <w:highlight w:val="none"/>
        </w:rPr>
        <w:t>与处置</w:t>
      </w:r>
      <w:r>
        <w:rPr>
          <w:rFonts w:ascii="Times New Roman" w:hAnsi="Times New Roman" w:eastAsia="宋体"/>
          <w:color w:val="auto"/>
          <w:sz w:val="28"/>
          <w:szCs w:val="24"/>
          <w:highlight w:val="none"/>
        </w:rPr>
        <w:t>厂房的耐火等级不应低于二级。</w:t>
      </w:r>
    </w:p>
    <w:p w14:paraId="4C335F95">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2.2.5  含有以下场所或部位的</w:t>
      </w:r>
      <w:r>
        <w:rPr>
          <w:rFonts w:ascii="Times New Roman" w:hAnsi="Times New Roman" w:eastAsia="宋体"/>
          <w:color w:val="auto"/>
          <w:sz w:val="28"/>
          <w:szCs w:val="24"/>
          <w:highlight w:val="none"/>
        </w:rPr>
        <w:t>电池生产</w:t>
      </w:r>
      <w:r>
        <w:rPr>
          <w:rFonts w:hint="eastAsia" w:ascii="Times New Roman" w:hAnsi="Times New Roman" w:eastAsia="宋体"/>
          <w:color w:val="auto"/>
          <w:sz w:val="28"/>
          <w:szCs w:val="24"/>
          <w:highlight w:val="none"/>
        </w:rPr>
        <w:t>与处置厂房不应设置在地下或半地下：</w:t>
      </w:r>
    </w:p>
    <w:p w14:paraId="647188E1">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1  使用或产生可燃气体、蒸气、粉尘、纤维爆炸危险性的场所或部位；</w:t>
      </w:r>
    </w:p>
    <w:p w14:paraId="6882D021">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  使用或产生有毒、腐蚀性、窒息性气体、蒸汽的场所或部位；</w:t>
      </w:r>
    </w:p>
    <w:p w14:paraId="6AF083D0">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3  产生重金属粉尘的场所或部位。</w:t>
      </w:r>
    </w:p>
    <w:p w14:paraId="6918CF85">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除本规范另有规定外，厂房内任一点至最近安全出口的直线距离，不应大于表2.2.6的规定。</w:t>
      </w:r>
    </w:p>
    <w:p w14:paraId="78E58E4D">
      <w:pPr>
        <w:pStyle w:val="40"/>
        <w:adjustRightInd w:val="0"/>
        <w:snapToGrid w:val="0"/>
        <w:ind w:firstLine="0" w:firstLineChars="0"/>
        <w:jc w:val="center"/>
        <w:rPr>
          <w:rFonts w:ascii="Times New Roman" w:hAnsi="Times New Roman" w:eastAsia="宋体"/>
          <w:color w:val="auto"/>
          <w:sz w:val="24"/>
          <w:highlight w:val="none"/>
        </w:rPr>
      </w:pPr>
      <w:r>
        <w:rPr>
          <w:rFonts w:ascii="Times New Roman" w:hAnsi="Times New Roman" w:eastAsia="宋体"/>
          <w:color w:val="auto"/>
          <w:sz w:val="24"/>
          <w:highlight w:val="none"/>
        </w:rPr>
        <w:t>表</w:t>
      </w:r>
      <w:r>
        <w:rPr>
          <w:rFonts w:hint="eastAsia" w:ascii="Times New Roman" w:hAnsi="Times New Roman" w:eastAsia="宋体"/>
          <w:color w:val="auto"/>
          <w:sz w:val="24"/>
          <w:highlight w:val="none"/>
        </w:rPr>
        <w:t xml:space="preserve">  2</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6</w:t>
      </w:r>
      <w:r>
        <w:rPr>
          <w:rFonts w:ascii="Times New Roman" w:hAnsi="Times New Roman" w:eastAsia="宋体"/>
          <w:color w:val="auto"/>
          <w:sz w:val="24"/>
          <w:highlight w:val="none"/>
        </w:rPr>
        <w:t xml:space="preserve"> 厂房内任一点至最近安全出口的直线距离(m)</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570"/>
        <w:gridCol w:w="1712"/>
        <w:gridCol w:w="1738"/>
      </w:tblGrid>
      <w:tr w14:paraId="65BC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EB0E839">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生产的火灾危险性类别</w:t>
            </w:r>
          </w:p>
        </w:tc>
        <w:tc>
          <w:tcPr>
            <w:tcW w:w="2570" w:type="dxa"/>
            <w:vAlign w:val="center"/>
          </w:tcPr>
          <w:p w14:paraId="23C9BB3C">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单层厂房或多层、高层厂房的首层</w:t>
            </w:r>
          </w:p>
        </w:tc>
        <w:tc>
          <w:tcPr>
            <w:tcW w:w="1712" w:type="dxa"/>
            <w:vAlign w:val="center"/>
          </w:tcPr>
          <w:p w14:paraId="0D20AF30">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多层厂房</w:t>
            </w:r>
          </w:p>
        </w:tc>
        <w:tc>
          <w:tcPr>
            <w:tcW w:w="1738" w:type="dxa"/>
            <w:vAlign w:val="center"/>
          </w:tcPr>
          <w:p w14:paraId="39ED755E">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高层厂房</w:t>
            </w:r>
          </w:p>
        </w:tc>
      </w:tr>
      <w:tr w14:paraId="3142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Pr>
          <w:p w14:paraId="070B6552">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甲类</w:t>
            </w:r>
          </w:p>
        </w:tc>
        <w:tc>
          <w:tcPr>
            <w:tcW w:w="2570" w:type="dxa"/>
          </w:tcPr>
          <w:p w14:paraId="5B3ABC46">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30</w:t>
            </w:r>
          </w:p>
        </w:tc>
        <w:tc>
          <w:tcPr>
            <w:tcW w:w="1712" w:type="dxa"/>
          </w:tcPr>
          <w:p w14:paraId="7755C030">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25</w:t>
            </w:r>
          </w:p>
        </w:tc>
        <w:tc>
          <w:tcPr>
            <w:tcW w:w="1738" w:type="dxa"/>
          </w:tcPr>
          <w:p w14:paraId="2FBAEDD2">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6E7B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Pr>
          <w:p w14:paraId="59574237">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乙类</w:t>
            </w:r>
          </w:p>
        </w:tc>
        <w:tc>
          <w:tcPr>
            <w:tcW w:w="2570" w:type="dxa"/>
          </w:tcPr>
          <w:p w14:paraId="03941977">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75</w:t>
            </w:r>
          </w:p>
        </w:tc>
        <w:tc>
          <w:tcPr>
            <w:tcW w:w="1712" w:type="dxa"/>
          </w:tcPr>
          <w:p w14:paraId="63A1A9C5">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50</w:t>
            </w:r>
          </w:p>
        </w:tc>
        <w:tc>
          <w:tcPr>
            <w:tcW w:w="1738" w:type="dxa"/>
          </w:tcPr>
          <w:p w14:paraId="4BFAC59B">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30</w:t>
            </w:r>
          </w:p>
        </w:tc>
      </w:tr>
      <w:tr w14:paraId="7585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Pr>
          <w:p w14:paraId="16B828C9">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丙类</w:t>
            </w:r>
          </w:p>
        </w:tc>
        <w:tc>
          <w:tcPr>
            <w:tcW w:w="2570" w:type="dxa"/>
          </w:tcPr>
          <w:p w14:paraId="320154F4">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80</w:t>
            </w:r>
          </w:p>
        </w:tc>
        <w:tc>
          <w:tcPr>
            <w:tcW w:w="1712" w:type="dxa"/>
          </w:tcPr>
          <w:p w14:paraId="7824D560">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60</w:t>
            </w:r>
          </w:p>
        </w:tc>
        <w:tc>
          <w:tcPr>
            <w:tcW w:w="1738" w:type="dxa"/>
          </w:tcPr>
          <w:p w14:paraId="381AC1AE">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40</w:t>
            </w:r>
          </w:p>
        </w:tc>
      </w:tr>
      <w:tr w14:paraId="208B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Pr>
          <w:p w14:paraId="0BBCE7F3">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丁类</w:t>
            </w:r>
          </w:p>
        </w:tc>
        <w:tc>
          <w:tcPr>
            <w:tcW w:w="2570" w:type="dxa"/>
          </w:tcPr>
          <w:p w14:paraId="691B138A">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不限</w:t>
            </w:r>
          </w:p>
        </w:tc>
        <w:tc>
          <w:tcPr>
            <w:tcW w:w="1712" w:type="dxa"/>
          </w:tcPr>
          <w:p w14:paraId="4EC99329">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不限</w:t>
            </w:r>
          </w:p>
        </w:tc>
        <w:tc>
          <w:tcPr>
            <w:tcW w:w="1738" w:type="dxa"/>
          </w:tcPr>
          <w:p w14:paraId="261F79AB">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50</w:t>
            </w:r>
          </w:p>
        </w:tc>
      </w:tr>
      <w:tr w14:paraId="75C8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Pr>
          <w:p w14:paraId="1B054067">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戊类</w:t>
            </w:r>
          </w:p>
        </w:tc>
        <w:tc>
          <w:tcPr>
            <w:tcW w:w="2570" w:type="dxa"/>
          </w:tcPr>
          <w:p w14:paraId="33846E35">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不限</w:t>
            </w:r>
          </w:p>
        </w:tc>
        <w:tc>
          <w:tcPr>
            <w:tcW w:w="1712" w:type="dxa"/>
          </w:tcPr>
          <w:p w14:paraId="7A84C955">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不限</w:t>
            </w:r>
          </w:p>
        </w:tc>
        <w:tc>
          <w:tcPr>
            <w:tcW w:w="1738" w:type="dxa"/>
          </w:tcPr>
          <w:p w14:paraId="532CB92A">
            <w:pPr>
              <w:pStyle w:val="40"/>
              <w:adjustRightInd w:val="0"/>
              <w:snapToGrid w:val="0"/>
              <w:ind w:firstLine="0" w:firstLineChars="0"/>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75</w:t>
            </w:r>
          </w:p>
        </w:tc>
      </w:tr>
    </w:tbl>
    <w:p w14:paraId="335D5934">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4"/>
          <w:highlight w:val="none"/>
        </w:rPr>
        <w:t>注：</w:t>
      </w:r>
      <w:r>
        <w:rPr>
          <w:rFonts w:ascii="Times New Roman" w:hAnsi="Times New Roman" w:eastAsia="宋体"/>
          <w:color w:val="auto"/>
          <w:sz w:val="24"/>
          <w:highlight w:val="none"/>
        </w:rPr>
        <w:t>“-”表示不允许。</w:t>
      </w:r>
    </w:p>
    <w:p w14:paraId="72BD3247">
      <w:pPr>
        <w:pStyle w:val="40"/>
        <w:adjustRightInd w:val="0"/>
        <w:snapToGrid w:val="0"/>
        <w:spacing w:line="360" w:lineRule="auto"/>
        <w:ind w:firstLine="0" w:firstLineChars="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2.2.7  电池生产与处置工程建（构）筑物的防水工程，应在设计工作年限内满足工艺生产环境控制、设备及原辅材料安全、建筑结构安全及环境保护的要求，且下列建（构）筑物的工程防水类别应为甲类：</w:t>
      </w:r>
    </w:p>
    <w:p w14:paraId="0699EB03">
      <w:pPr>
        <w:pStyle w:val="40"/>
        <w:adjustRightInd w:val="0"/>
        <w:snapToGrid w:val="0"/>
        <w:spacing w:line="360" w:lineRule="auto"/>
        <w:ind w:firstLine="56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1  有净化及温湿度控制要求的生产厂房的屋面；</w:t>
      </w:r>
    </w:p>
    <w:p w14:paraId="6EEB3EEA">
      <w:pPr>
        <w:pStyle w:val="40"/>
        <w:adjustRightInd w:val="0"/>
        <w:snapToGrid w:val="0"/>
        <w:spacing w:line="360" w:lineRule="auto"/>
        <w:ind w:firstLine="56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2  有腐蚀性或含重金属废液、废水产生的生产和处置作业及废液、废水储存区域的楼地面；</w:t>
      </w:r>
    </w:p>
    <w:p w14:paraId="2930B2F0">
      <w:pPr>
        <w:pStyle w:val="40"/>
        <w:adjustRightInd w:val="0"/>
        <w:snapToGrid w:val="0"/>
        <w:spacing w:line="360" w:lineRule="auto"/>
        <w:ind w:firstLine="56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3  腐蚀性或含重金属废液、废水的收集沟（坑、池）及事故应急废水收集池。</w:t>
      </w:r>
    </w:p>
    <w:p w14:paraId="4918EA9B">
      <w:pPr>
        <w:pStyle w:val="40"/>
        <w:adjustRightInd w:val="0"/>
        <w:snapToGrid w:val="0"/>
        <w:spacing w:line="360" w:lineRule="auto"/>
        <w:ind w:firstLine="0" w:firstLineChars="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 xml:space="preserve">2.2.8  </w:t>
      </w:r>
      <w:r>
        <w:rPr>
          <w:rFonts w:ascii="Times New Roman" w:hAnsi="Times New Roman" w:eastAsia="宋体"/>
          <w:bCs/>
          <w:color w:val="auto"/>
          <w:kern w:val="44"/>
          <w:sz w:val="28"/>
          <w:szCs w:val="32"/>
          <w:highlight w:val="none"/>
        </w:rPr>
        <w:t>电池生产与处置工程的抗震设防类别，应符合现行</w:t>
      </w:r>
      <w:r>
        <w:rPr>
          <w:rFonts w:hint="eastAsia" w:ascii="Times New Roman" w:hAnsi="Times New Roman" w:eastAsia="宋体"/>
          <w:bCs/>
          <w:color w:val="auto"/>
          <w:kern w:val="44"/>
          <w:sz w:val="28"/>
          <w:szCs w:val="32"/>
          <w:highlight w:val="none"/>
        </w:rPr>
        <w:t>工程建设</w:t>
      </w:r>
      <w:r>
        <w:rPr>
          <w:rFonts w:ascii="Times New Roman" w:hAnsi="Times New Roman" w:eastAsia="宋体"/>
          <w:bCs/>
          <w:color w:val="auto"/>
          <w:kern w:val="44"/>
          <w:sz w:val="28"/>
          <w:szCs w:val="32"/>
          <w:highlight w:val="none"/>
        </w:rPr>
        <w:t>国家</w:t>
      </w:r>
      <w:r>
        <w:rPr>
          <w:rFonts w:hint="eastAsia" w:ascii="Times New Roman" w:hAnsi="Times New Roman" w:eastAsia="宋体"/>
          <w:bCs/>
          <w:color w:val="auto"/>
          <w:kern w:val="44"/>
          <w:sz w:val="28"/>
          <w:szCs w:val="32"/>
          <w:highlight w:val="none"/>
        </w:rPr>
        <w:t>强制性规范</w:t>
      </w:r>
      <w:r>
        <w:rPr>
          <w:rFonts w:ascii="Times New Roman" w:hAnsi="Times New Roman" w:eastAsia="宋体"/>
          <w:bCs/>
          <w:color w:val="auto"/>
          <w:kern w:val="44"/>
          <w:sz w:val="28"/>
          <w:szCs w:val="32"/>
          <w:highlight w:val="none"/>
        </w:rPr>
        <w:t>《建筑与市政工程抗震通用规范》GB 55002-2021的有关规定，涉及易燃易爆或有毒有害物质的生产、储存</w:t>
      </w:r>
      <w:r>
        <w:rPr>
          <w:rFonts w:hint="eastAsia" w:ascii="Times New Roman" w:hAnsi="Times New Roman" w:eastAsia="宋体"/>
          <w:bCs/>
          <w:color w:val="auto"/>
          <w:kern w:val="44"/>
          <w:sz w:val="28"/>
          <w:szCs w:val="32"/>
          <w:highlight w:val="none"/>
        </w:rPr>
        <w:t>的</w:t>
      </w:r>
      <w:r>
        <w:rPr>
          <w:rFonts w:ascii="Times New Roman" w:hAnsi="Times New Roman" w:eastAsia="宋体"/>
          <w:bCs/>
          <w:color w:val="auto"/>
          <w:kern w:val="44"/>
          <w:sz w:val="28"/>
          <w:szCs w:val="32"/>
          <w:highlight w:val="none"/>
        </w:rPr>
        <w:t>建筑以及地震后需要维持功能的安全保障设施，其抗震设防类别不应低于乙类，结构安全等级应为一级。</w:t>
      </w:r>
    </w:p>
    <w:p w14:paraId="0F94B9CF">
      <w:pPr>
        <w:pStyle w:val="40"/>
        <w:adjustRightInd w:val="0"/>
        <w:snapToGrid w:val="0"/>
        <w:spacing w:line="360" w:lineRule="auto"/>
        <w:ind w:firstLine="0" w:firstLineChars="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 xml:space="preserve">2.2.9  </w:t>
      </w:r>
      <w:r>
        <w:rPr>
          <w:rFonts w:ascii="Times New Roman" w:hAnsi="Times New Roman" w:eastAsia="宋体"/>
          <w:bCs/>
          <w:color w:val="auto"/>
          <w:kern w:val="44"/>
          <w:sz w:val="28"/>
          <w:szCs w:val="32"/>
          <w:highlight w:val="none"/>
        </w:rPr>
        <w:t>电池生产与处置工程的施工和安装应完整、准确地实现工程设计文件所规定的安全与环保性能。</w:t>
      </w:r>
    </w:p>
    <w:p w14:paraId="221DF51F">
      <w:pPr>
        <w:pStyle w:val="40"/>
        <w:adjustRightInd w:val="0"/>
        <w:snapToGrid w:val="0"/>
        <w:spacing w:line="360" w:lineRule="auto"/>
        <w:ind w:firstLine="0" w:firstLineChars="0"/>
        <w:rPr>
          <w:rFonts w:ascii="Times New Roman" w:hAnsi="Times New Roman" w:eastAsia="宋体"/>
          <w:bCs/>
          <w:color w:val="auto"/>
          <w:kern w:val="44"/>
          <w:sz w:val="28"/>
          <w:szCs w:val="32"/>
          <w:highlight w:val="none"/>
        </w:rPr>
      </w:pPr>
      <w:r>
        <w:rPr>
          <w:rFonts w:hint="eastAsia" w:ascii="Times New Roman" w:hAnsi="Times New Roman" w:eastAsia="宋体"/>
          <w:bCs/>
          <w:color w:val="auto"/>
          <w:kern w:val="44"/>
          <w:sz w:val="28"/>
          <w:szCs w:val="32"/>
          <w:highlight w:val="none"/>
        </w:rPr>
        <w:t xml:space="preserve">2.2.10  </w:t>
      </w:r>
      <w:r>
        <w:rPr>
          <w:rFonts w:ascii="Times New Roman" w:hAnsi="Times New Roman" w:eastAsia="宋体"/>
          <w:bCs/>
          <w:color w:val="auto"/>
          <w:kern w:val="44"/>
          <w:sz w:val="28"/>
          <w:szCs w:val="32"/>
          <w:highlight w:val="none"/>
        </w:rPr>
        <w:t>电池生产与处置工程的竣工验收，应验证工程实体是否达到工程设计文件规定的安全与环保性能。竣工验收合格后，工程方可投入运行</w:t>
      </w:r>
      <w:r>
        <w:rPr>
          <w:rFonts w:hint="eastAsia" w:ascii="Times New Roman" w:hAnsi="Times New Roman" w:eastAsia="宋体"/>
          <w:bCs/>
          <w:color w:val="auto"/>
          <w:kern w:val="44"/>
          <w:sz w:val="28"/>
          <w:szCs w:val="32"/>
          <w:highlight w:val="none"/>
        </w:rPr>
        <w:t>。</w:t>
      </w:r>
    </w:p>
    <w:p w14:paraId="48B4F7A6">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s="Times New Roman"/>
          <w:b/>
          <w:bCs/>
          <w:iCs/>
          <w:color w:val="auto"/>
          <w:kern w:val="0"/>
          <w:sz w:val="28"/>
          <w:szCs w:val="28"/>
          <w:highlight w:val="none"/>
        </w:rPr>
      </w:pPr>
      <w:bookmarkStart w:id="15" w:name="_Toc232688060"/>
      <w:bookmarkStart w:id="16" w:name="_Toc230621646"/>
      <w:bookmarkStart w:id="17" w:name="_Toc233018511"/>
      <w:r>
        <w:rPr>
          <w:rFonts w:ascii="Times New Roman" w:hAnsi="Times New Roman" w:eastAsia="宋体" w:cs="Times New Roman"/>
          <w:b/>
          <w:bCs/>
          <w:iCs/>
          <w:color w:val="auto"/>
          <w:kern w:val="0"/>
          <w:sz w:val="28"/>
          <w:szCs w:val="28"/>
          <w:highlight w:val="none"/>
        </w:rPr>
        <w:t xml:space="preserve">2.3  </w:t>
      </w:r>
      <w:r>
        <w:rPr>
          <w:rFonts w:hint="eastAsia" w:ascii="Times New Roman" w:hAnsi="Times New Roman" w:eastAsia="宋体" w:cs="Times New Roman"/>
          <w:b/>
          <w:bCs/>
          <w:iCs/>
          <w:color w:val="auto"/>
          <w:kern w:val="0"/>
          <w:sz w:val="28"/>
          <w:szCs w:val="28"/>
          <w:highlight w:val="none"/>
        </w:rPr>
        <w:t>运维与拆除</w:t>
      </w:r>
      <w:bookmarkEnd w:id="15"/>
      <w:bookmarkEnd w:id="16"/>
      <w:bookmarkEnd w:id="17"/>
    </w:p>
    <w:p w14:paraId="550FF59B">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 xml:space="preserve">  电池生产与处置工程在运行维护阶段应保持本规范及其他现行</w:t>
      </w:r>
      <w:r>
        <w:rPr>
          <w:rFonts w:hint="eastAsia" w:ascii="Times New Roman" w:hAnsi="Times New Roman" w:eastAsia="宋体"/>
          <w:color w:val="auto"/>
          <w:sz w:val="28"/>
          <w:szCs w:val="24"/>
          <w:highlight w:val="none"/>
        </w:rPr>
        <w:t>工程建设强制性</w:t>
      </w:r>
      <w:r>
        <w:rPr>
          <w:rFonts w:ascii="Times New Roman" w:hAnsi="Times New Roman" w:eastAsia="宋体"/>
          <w:color w:val="auto"/>
          <w:sz w:val="28"/>
          <w:szCs w:val="24"/>
          <w:highlight w:val="none"/>
        </w:rPr>
        <w:t>国家</w:t>
      </w:r>
      <w:r>
        <w:rPr>
          <w:rFonts w:hint="eastAsia" w:ascii="Times New Roman" w:hAnsi="Times New Roman" w:eastAsia="宋体"/>
          <w:color w:val="auto"/>
          <w:sz w:val="28"/>
          <w:szCs w:val="24"/>
          <w:highlight w:val="none"/>
        </w:rPr>
        <w:t>规范</w:t>
      </w:r>
      <w:r>
        <w:rPr>
          <w:rFonts w:ascii="Times New Roman" w:hAnsi="Times New Roman" w:eastAsia="宋体"/>
          <w:color w:val="auto"/>
          <w:sz w:val="28"/>
          <w:szCs w:val="24"/>
          <w:highlight w:val="none"/>
        </w:rPr>
        <w:t>规定的各项功能和性能要求持续有效；当生产工艺、处置对象或生产规模发生变化，可能超出相关安全和环保设施的设计条件时，应进行复核，确认满足要求后方可运行。</w:t>
      </w:r>
    </w:p>
    <w:p w14:paraId="0CCAE77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2.3.2  涉及粉尘、重金属、危险化学品和其他有毒、有害因素的生产作业环境应采取防毒、防尘等职业卫生防护措施</w:t>
      </w:r>
      <w:r>
        <w:rPr>
          <w:rFonts w:ascii="Times New Roman" w:hAnsi="Times New Roman" w:eastAsia="宋体"/>
          <w:color w:val="auto"/>
          <w:sz w:val="28"/>
          <w:szCs w:val="24"/>
          <w:highlight w:val="none"/>
        </w:rPr>
        <w:t>。</w:t>
      </w:r>
    </w:p>
    <w:p w14:paraId="5F1F3ACA">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电池生产、处置厂房及仓库中产生危险废物的部位，在改做它用前或拆除后应采取消除污染措施，无法消除污染的设备、管线、墙体、土壤等应按危险废物处置</w:t>
      </w:r>
      <w:r>
        <w:rPr>
          <w:rFonts w:ascii="Times New Roman" w:hAnsi="Times New Roman" w:eastAsia="宋体"/>
          <w:color w:val="auto"/>
          <w:sz w:val="28"/>
          <w:szCs w:val="24"/>
          <w:highlight w:val="none"/>
        </w:rPr>
        <w:t>。</w:t>
      </w:r>
    </w:p>
    <w:p w14:paraId="6F219A66">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4</w:t>
      </w:r>
      <w:r>
        <w:rPr>
          <w:rFonts w:ascii="Times New Roman" w:hAnsi="Times New Roman" w:eastAsia="宋体"/>
          <w:color w:val="auto"/>
          <w:sz w:val="28"/>
          <w:szCs w:val="24"/>
          <w:highlight w:val="none"/>
        </w:rPr>
        <w:t xml:space="preserve">  年综合能源消费总量当量值大于10000t标准煤的电池生产与处置工程项目应设置全厂供能系统和主要用能设备的监控系统。</w:t>
      </w:r>
    </w:p>
    <w:p w14:paraId="09B1FB43">
      <w:pPr>
        <w:pStyle w:val="40"/>
        <w:adjustRightInd w:val="0"/>
        <w:snapToGrid w:val="0"/>
        <w:spacing w:line="360" w:lineRule="auto"/>
        <w:ind w:firstLine="0" w:firstLineChars="0"/>
        <w:rPr>
          <w:rFonts w:ascii="Times New Roman" w:hAnsi="Times New Roman" w:eastAsia="宋体"/>
          <w:color w:val="auto"/>
          <w:sz w:val="28"/>
          <w:szCs w:val="24"/>
          <w:highlight w:val="none"/>
        </w:rPr>
      </w:pPr>
    </w:p>
    <w:p w14:paraId="725646F0">
      <w:pPr>
        <w:pStyle w:val="40"/>
        <w:adjustRightInd w:val="0"/>
        <w:snapToGrid w:val="0"/>
        <w:spacing w:line="360" w:lineRule="auto"/>
        <w:ind w:firstLine="0" w:firstLineChars="0"/>
        <w:rPr>
          <w:rFonts w:ascii="Times New Roman" w:hAnsi="Times New Roman" w:eastAsia="宋体"/>
          <w:color w:val="auto"/>
          <w:sz w:val="28"/>
          <w:szCs w:val="24"/>
          <w:highlight w:val="none"/>
        </w:rPr>
      </w:pPr>
    </w:p>
    <w:p w14:paraId="72EC4E29">
      <w:pPr>
        <w:adjustRightInd w:val="0"/>
        <w:snapToGrid w:val="0"/>
        <w:spacing w:line="360" w:lineRule="auto"/>
        <w:ind w:firstLine="560" w:firstLineChars="200"/>
        <w:rPr>
          <w:rFonts w:ascii="Times New Roman" w:hAnsi="Times New Roman" w:eastAsia="宋体"/>
          <w:color w:val="auto"/>
          <w:sz w:val="28"/>
          <w:highlight w:val="none"/>
        </w:rPr>
      </w:pPr>
    </w:p>
    <w:p w14:paraId="6E7F672A">
      <w:pPr>
        <w:adjustRightInd w:val="0"/>
        <w:snapToGrid w:val="0"/>
        <w:spacing w:line="360" w:lineRule="auto"/>
        <w:rPr>
          <w:rFonts w:ascii="Times New Roman" w:hAnsi="Times New Roman" w:eastAsia="宋体"/>
          <w:color w:val="auto"/>
          <w:sz w:val="28"/>
          <w:highlight w:val="none"/>
        </w:rPr>
        <w:sectPr>
          <w:pgSz w:w="11906" w:h="16838"/>
          <w:pgMar w:top="1440" w:right="1800" w:bottom="1440" w:left="1800" w:header="851" w:footer="992" w:gutter="0"/>
          <w:cols w:space="720" w:num="1"/>
          <w:docGrid w:type="lines" w:linePitch="312" w:charSpace="0"/>
        </w:sectPr>
      </w:pPr>
    </w:p>
    <w:p w14:paraId="28A5A23B">
      <w:pPr>
        <w:tabs>
          <w:tab w:val="right" w:leader="dot" w:pos="8931"/>
        </w:tabs>
        <w:adjustRightInd w:val="0"/>
        <w:snapToGrid w:val="0"/>
        <w:spacing w:before="0" w:after="0" w:line="360" w:lineRule="auto"/>
        <w:jc w:val="center"/>
        <w:outlineLvl w:val="0"/>
        <w:rPr>
          <w:rFonts w:ascii="Times New Roman" w:hAnsi="Times New Roman" w:eastAsia="宋体"/>
          <w:b/>
          <w:bCs/>
          <w:color w:val="auto"/>
          <w:kern w:val="44"/>
          <w:sz w:val="28"/>
          <w:szCs w:val="32"/>
          <w:highlight w:val="none"/>
        </w:rPr>
      </w:pPr>
      <w:bookmarkStart w:id="18" w:name="_Toc29978965"/>
      <w:bookmarkStart w:id="19" w:name="_Toc232688061"/>
      <w:bookmarkStart w:id="20" w:name="_Toc233018512"/>
      <w:bookmarkStart w:id="21" w:name="_Toc150330032"/>
      <w:bookmarkStart w:id="22" w:name="_Toc230621647"/>
      <w:r>
        <w:rPr>
          <w:rFonts w:hint="eastAsia" w:ascii="Times New Roman" w:hAnsi="Times New Roman" w:eastAsia="宋体"/>
          <w:b/>
          <w:bCs/>
          <w:color w:val="auto"/>
          <w:kern w:val="44"/>
          <w:sz w:val="28"/>
          <w:szCs w:val="32"/>
          <w:highlight w:val="none"/>
        </w:rPr>
        <w:t>3  生产设施</w:t>
      </w:r>
      <w:bookmarkEnd w:id="18"/>
      <w:bookmarkEnd w:id="19"/>
      <w:bookmarkEnd w:id="20"/>
      <w:bookmarkEnd w:id="21"/>
      <w:bookmarkEnd w:id="22"/>
    </w:p>
    <w:p w14:paraId="754D8187">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s="Times New Roman"/>
          <w:b/>
          <w:bCs/>
          <w:iCs/>
          <w:color w:val="auto"/>
          <w:kern w:val="0"/>
          <w:sz w:val="28"/>
          <w:szCs w:val="28"/>
          <w:highlight w:val="none"/>
        </w:rPr>
      </w:pPr>
      <w:bookmarkStart w:id="23" w:name="_Toc150330033"/>
      <w:bookmarkStart w:id="24" w:name="_Toc233018513"/>
      <w:bookmarkStart w:id="25" w:name="_Toc29978966"/>
      <w:bookmarkStart w:id="26" w:name="_Toc232688062"/>
      <w:bookmarkStart w:id="27" w:name="_Toc230621648"/>
      <w:r>
        <w:rPr>
          <w:rFonts w:ascii="Times New Roman" w:hAnsi="Times New Roman" w:eastAsia="宋体" w:cs="Times New Roman"/>
          <w:b/>
          <w:bCs/>
          <w:iCs/>
          <w:color w:val="auto"/>
          <w:kern w:val="0"/>
          <w:sz w:val="28"/>
          <w:szCs w:val="28"/>
          <w:highlight w:val="none"/>
        </w:rPr>
        <w:t xml:space="preserve">3.1  </w:t>
      </w:r>
      <w:r>
        <w:rPr>
          <w:rFonts w:hint="eastAsia" w:ascii="Times New Roman" w:hAnsi="Times New Roman" w:eastAsia="宋体" w:cs="Times New Roman"/>
          <w:b/>
          <w:bCs/>
          <w:iCs/>
          <w:color w:val="auto"/>
          <w:kern w:val="0"/>
          <w:sz w:val="28"/>
          <w:szCs w:val="28"/>
          <w:highlight w:val="none"/>
        </w:rPr>
        <w:t>工艺与设备</w:t>
      </w:r>
      <w:bookmarkEnd w:id="23"/>
      <w:bookmarkEnd w:id="24"/>
      <w:bookmarkEnd w:id="25"/>
      <w:bookmarkEnd w:id="26"/>
      <w:bookmarkEnd w:id="27"/>
    </w:p>
    <w:p w14:paraId="0D5349E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电池生产与处置工程项目中不得使用国家或</w:t>
      </w:r>
      <w:r>
        <w:rPr>
          <w:rFonts w:ascii="Times New Roman" w:hAnsi="Times New Roman" w:eastAsia="宋体"/>
          <w:color w:val="auto"/>
          <w:sz w:val="28"/>
          <w:szCs w:val="24"/>
          <w:highlight w:val="none"/>
        </w:rPr>
        <w:t>当地政府明令淘汰或禁止使用的技术、工艺、设备和材料。</w:t>
      </w:r>
    </w:p>
    <w:p w14:paraId="21C49139">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color w:val="auto"/>
          <w:sz w:val="28"/>
          <w:szCs w:val="24"/>
          <w:highlight w:val="none"/>
        </w:rPr>
        <w:t xml:space="preserve">3.1.2  </w:t>
      </w:r>
      <w:r>
        <w:rPr>
          <w:rFonts w:ascii="Times New Roman" w:hAnsi="Times New Roman" w:eastAsia="宋体"/>
          <w:color w:val="auto"/>
          <w:sz w:val="28"/>
          <w:szCs w:val="24"/>
          <w:highlight w:val="none"/>
        </w:rPr>
        <w:t>涉及易燃易爆、有毒有害物质或高温、高压等危险条件的工艺设备，应具备对其加工运行中可能产生的火灾、爆炸及有毒有害物质失控释放等安全风险的识别能力与控制能力。设备与厂房及厂务设施的安全措施的接口要求，应随工艺设备一并交付使用方</w:t>
      </w:r>
      <w:r>
        <w:rPr>
          <w:rFonts w:hint="eastAsia" w:ascii="Times New Roman" w:hAnsi="Times New Roman" w:eastAsia="宋体"/>
          <w:color w:val="auto"/>
          <w:sz w:val="28"/>
          <w:szCs w:val="24"/>
          <w:highlight w:val="none"/>
        </w:rPr>
        <w:t>。</w:t>
      </w:r>
    </w:p>
    <w:p w14:paraId="396F1EEA">
      <w:pPr>
        <w:adjustRightInd w:val="0"/>
        <w:snapToGrid w:val="0"/>
        <w:spacing w:line="360" w:lineRule="auto"/>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3.1.</w:t>
      </w:r>
      <w:r>
        <w:rPr>
          <w:rFonts w:hint="eastAsia" w:ascii="Times New Roman" w:hAnsi="Times New Roman" w:eastAsia="宋体"/>
          <w:bCs/>
          <w:color w:val="auto"/>
          <w:sz w:val="28"/>
          <w:szCs w:val="24"/>
          <w:highlight w:val="none"/>
        </w:rPr>
        <w:t>3</w:t>
      </w:r>
      <w:r>
        <w:rPr>
          <w:rFonts w:ascii="Times New Roman" w:hAnsi="Times New Roman" w:eastAsia="宋体"/>
          <w:bCs/>
          <w:color w:val="auto"/>
          <w:sz w:val="28"/>
          <w:szCs w:val="28"/>
          <w:highlight w:val="none"/>
        </w:rPr>
        <w:t xml:space="preserve">  铅蓄电池生产的下列工序应采用密闭式自动化</w:t>
      </w:r>
      <w:r>
        <w:rPr>
          <w:rFonts w:hint="eastAsia" w:ascii="Times New Roman" w:hAnsi="Times New Roman" w:eastAsia="宋体"/>
          <w:bCs/>
          <w:color w:val="auto"/>
          <w:sz w:val="28"/>
          <w:szCs w:val="28"/>
          <w:highlight w:val="none"/>
        </w:rPr>
        <w:t>工艺</w:t>
      </w:r>
      <w:r>
        <w:rPr>
          <w:rFonts w:ascii="Times New Roman" w:hAnsi="Times New Roman" w:eastAsia="宋体"/>
          <w:bCs/>
          <w:color w:val="auto"/>
          <w:sz w:val="28"/>
          <w:szCs w:val="28"/>
          <w:highlight w:val="none"/>
        </w:rPr>
        <w:t>设备，且产生铅粉尘的部位应采取排风和废气处理措施：</w:t>
      </w:r>
    </w:p>
    <w:p w14:paraId="7701CF0C">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8"/>
          <w:highlight w:val="none"/>
        </w:rPr>
        <w:t>熔铅、铸板、铸铅工序；</w:t>
      </w:r>
    </w:p>
    <w:p w14:paraId="1B70E99C">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2</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铅粉制造工序；</w:t>
      </w:r>
    </w:p>
    <w:p w14:paraId="55BECF07">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3</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和膏工序；</w:t>
      </w:r>
    </w:p>
    <w:p w14:paraId="141912B7">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4</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涂板工序；</w:t>
      </w:r>
    </w:p>
    <w:p w14:paraId="20EFC1C9">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5</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分板、刷板（耳）工序；</w:t>
      </w:r>
    </w:p>
    <w:p w14:paraId="28EA048D">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6</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供酸、灌酸工序；</w:t>
      </w:r>
    </w:p>
    <w:p w14:paraId="34BD6878">
      <w:pPr>
        <w:adjustRightInd w:val="0"/>
        <w:snapToGrid w:val="0"/>
        <w:spacing w:line="360" w:lineRule="auto"/>
        <w:ind w:firstLine="660" w:firstLineChars="236"/>
        <w:rPr>
          <w:rFonts w:ascii="Times New Roman" w:hAnsi="Times New Roman" w:eastAsia="宋体"/>
          <w:bCs/>
          <w:color w:val="auto"/>
          <w:sz w:val="28"/>
          <w:szCs w:val="28"/>
          <w:highlight w:val="none"/>
        </w:rPr>
      </w:pPr>
      <w:r>
        <w:rPr>
          <w:rFonts w:ascii="Times New Roman" w:hAnsi="Times New Roman" w:eastAsia="宋体"/>
          <w:bCs/>
          <w:color w:val="auto"/>
          <w:sz w:val="28"/>
          <w:szCs w:val="24"/>
          <w:highlight w:val="none"/>
        </w:rPr>
        <w:t>7</w:t>
      </w:r>
      <w:r>
        <w:rPr>
          <w:rFonts w:ascii="Times New Roman" w:hAnsi="Times New Roman" w:eastAsia="宋体"/>
          <w:bCs/>
          <w:color w:val="auto"/>
          <w:sz w:val="28"/>
          <w:szCs w:val="28"/>
          <w:highlight w:val="none"/>
        </w:rPr>
        <w:t xml:space="preserve"> </w:t>
      </w:r>
      <w:r>
        <w:rPr>
          <w:rFonts w:hint="eastAsia" w:ascii="Times New Roman" w:hAnsi="Times New Roman" w:eastAsia="宋体"/>
          <w:bCs/>
          <w:color w:val="auto"/>
          <w:sz w:val="28"/>
          <w:szCs w:val="28"/>
          <w:highlight w:val="none"/>
        </w:rPr>
        <w:t xml:space="preserve"> </w:t>
      </w:r>
      <w:r>
        <w:rPr>
          <w:rFonts w:ascii="Times New Roman" w:hAnsi="Times New Roman" w:eastAsia="宋体"/>
          <w:bCs/>
          <w:color w:val="auto"/>
          <w:sz w:val="28"/>
          <w:szCs w:val="28"/>
          <w:highlight w:val="none"/>
        </w:rPr>
        <w:t>焊接工序。</w:t>
      </w:r>
    </w:p>
    <w:p w14:paraId="615D95DD">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3.1.</w:t>
      </w:r>
      <w:r>
        <w:rPr>
          <w:rFonts w:hint="eastAsia"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锌锰电池生产工艺</w:t>
      </w:r>
      <w:r>
        <w:rPr>
          <w:rFonts w:hint="eastAsia" w:ascii="Times New Roman" w:hAnsi="Times New Roman" w:eastAsia="宋体"/>
          <w:color w:val="auto"/>
          <w:sz w:val="28"/>
          <w:szCs w:val="24"/>
          <w:highlight w:val="none"/>
        </w:rPr>
        <w:t>与</w:t>
      </w:r>
      <w:r>
        <w:rPr>
          <w:rFonts w:ascii="Times New Roman" w:hAnsi="Times New Roman" w:eastAsia="宋体"/>
          <w:color w:val="auto"/>
          <w:sz w:val="28"/>
          <w:szCs w:val="24"/>
          <w:highlight w:val="none"/>
        </w:rPr>
        <w:t>设备应符合下列规定：</w:t>
      </w:r>
    </w:p>
    <w:p w14:paraId="5E4B2A0E">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拌粉工序应采用自动控制、密闭搅拌混合设备；</w:t>
      </w:r>
    </w:p>
    <w:p w14:paraId="04995513">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 xml:space="preserve">2 </w:t>
      </w:r>
      <w:r>
        <w:rPr>
          <w:rFonts w:hint="eastAsia" w:ascii="Times New Roman" w:hAnsi="Times New Roman" w:eastAsia="宋体"/>
          <w:bCs/>
          <w:color w:val="auto"/>
          <w:sz w:val="28"/>
          <w:szCs w:val="24"/>
          <w:highlight w:val="none"/>
        </w:rPr>
        <w:t xml:space="preserve"> </w:t>
      </w:r>
      <w:r>
        <w:rPr>
          <w:rFonts w:hint="eastAsia" w:ascii="Times New Roman" w:hAnsi="Times New Roman" w:eastAsia="宋体"/>
          <w:color w:val="auto"/>
          <w:sz w:val="28"/>
          <w:szCs w:val="24"/>
          <w:highlight w:val="none"/>
        </w:rPr>
        <w:t>组装工序应采用自动装配生产线；</w:t>
      </w:r>
    </w:p>
    <w:p w14:paraId="0961624B">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封口工序应采用自动涂胶机、封口机。</w:t>
      </w:r>
    </w:p>
    <w:p w14:paraId="7804870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3.1.</w:t>
      </w:r>
      <w:r>
        <w:rPr>
          <w:rFonts w:hint="eastAsia" w:ascii="Times New Roman" w:hAnsi="Times New Roman" w:eastAsia="宋体"/>
          <w:bCs/>
          <w:color w:val="auto"/>
          <w:sz w:val="28"/>
          <w:szCs w:val="24"/>
          <w:highlight w:val="none"/>
        </w:rPr>
        <w:t>5</w:t>
      </w:r>
      <w:r>
        <w:rPr>
          <w:rFonts w:hint="eastAsia" w:ascii="Times New Roman" w:hAnsi="Times New Roman" w:eastAsia="宋体"/>
          <w:color w:val="auto"/>
          <w:sz w:val="28"/>
          <w:szCs w:val="24"/>
          <w:highlight w:val="none"/>
        </w:rPr>
        <w:t xml:space="preserve">  镍氢蓄电池生产工艺与设备应符合下列规定：</w:t>
      </w:r>
    </w:p>
    <w:p w14:paraId="60BDD337">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应采用</w:t>
      </w:r>
      <w:r>
        <w:rPr>
          <w:rFonts w:hint="eastAsia" w:ascii="Times New Roman" w:hAnsi="Times New Roman" w:eastAsia="宋体"/>
          <w:color w:val="auto"/>
          <w:sz w:val="28"/>
          <w:szCs w:val="24"/>
          <w:highlight w:val="none"/>
        </w:rPr>
        <w:t>闭</w:t>
      </w:r>
      <w:r>
        <w:rPr>
          <w:rFonts w:ascii="Times New Roman" w:hAnsi="Times New Roman" w:eastAsia="宋体"/>
          <w:color w:val="auto"/>
          <w:sz w:val="28"/>
          <w:szCs w:val="24"/>
          <w:highlight w:val="none"/>
        </w:rPr>
        <w:t>口化成；</w:t>
      </w:r>
    </w:p>
    <w:p w14:paraId="6D5CC88F">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装配工序应采用</w:t>
      </w:r>
      <w:r>
        <w:rPr>
          <w:rFonts w:hint="eastAsia" w:ascii="Times New Roman" w:hAnsi="Times New Roman" w:eastAsia="宋体"/>
          <w:color w:val="auto"/>
          <w:sz w:val="28"/>
          <w:szCs w:val="24"/>
          <w:highlight w:val="none"/>
        </w:rPr>
        <w:t>自动</w:t>
      </w:r>
      <w:r>
        <w:rPr>
          <w:rFonts w:ascii="Times New Roman" w:hAnsi="Times New Roman" w:eastAsia="宋体"/>
          <w:color w:val="auto"/>
          <w:sz w:val="28"/>
          <w:szCs w:val="24"/>
          <w:highlight w:val="none"/>
        </w:rPr>
        <w:t>化分选配组设备。</w:t>
      </w:r>
    </w:p>
    <w:p w14:paraId="1B86FF27">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3.1.</w:t>
      </w:r>
      <w:r>
        <w:rPr>
          <w:rFonts w:hint="eastAsia"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锂离子电池工艺</w:t>
      </w:r>
      <w:r>
        <w:rPr>
          <w:rFonts w:hint="eastAsia" w:ascii="Times New Roman" w:hAnsi="Times New Roman" w:eastAsia="宋体"/>
          <w:color w:val="auto"/>
          <w:sz w:val="28"/>
          <w:szCs w:val="24"/>
          <w:highlight w:val="none"/>
        </w:rPr>
        <w:t>与</w:t>
      </w:r>
      <w:r>
        <w:rPr>
          <w:rFonts w:ascii="Times New Roman" w:hAnsi="Times New Roman" w:eastAsia="宋体"/>
          <w:color w:val="auto"/>
          <w:sz w:val="28"/>
          <w:szCs w:val="24"/>
          <w:highlight w:val="none"/>
        </w:rPr>
        <w:t>设备应符合下列规定：</w:t>
      </w:r>
    </w:p>
    <w:p w14:paraId="24F72F8B">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采用</w:t>
      </w:r>
      <w:r>
        <w:rPr>
          <w:rFonts w:hint="eastAsia" w:ascii="Times New Roman" w:hAnsi="Times New Roman" w:eastAsia="宋体"/>
          <w:color w:val="auto"/>
          <w:sz w:val="28"/>
          <w:szCs w:val="24"/>
          <w:highlight w:val="none"/>
        </w:rPr>
        <w:t>N-</w:t>
      </w:r>
      <w:r>
        <w:rPr>
          <w:rFonts w:ascii="Times New Roman" w:hAnsi="Times New Roman" w:eastAsia="宋体"/>
          <w:color w:val="auto"/>
          <w:sz w:val="28"/>
          <w:szCs w:val="24"/>
          <w:highlight w:val="none"/>
        </w:rPr>
        <w:t>甲基吡咯烷酮（NMP）的涂布工序应设置</w:t>
      </w:r>
      <w:r>
        <w:rPr>
          <w:rFonts w:hint="eastAsia" w:ascii="Times New Roman" w:hAnsi="Times New Roman" w:eastAsia="宋体"/>
          <w:color w:val="auto"/>
          <w:sz w:val="28"/>
          <w:szCs w:val="24"/>
          <w:highlight w:val="none"/>
        </w:rPr>
        <w:t>N-甲基吡咯烷酮（</w:t>
      </w:r>
      <w:r>
        <w:rPr>
          <w:rFonts w:ascii="Times New Roman" w:hAnsi="Times New Roman" w:eastAsia="宋体"/>
          <w:color w:val="auto"/>
          <w:sz w:val="28"/>
          <w:szCs w:val="24"/>
          <w:highlight w:val="none"/>
        </w:rPr>
        <w:t>NMP）回收系统，回收系统应设置</w:t>
      </w:r>
      <w:r>
        <w:rPr>
          <w:rFonts w:hint="eastAsia" w:ascii="Times New Roman" w:hAnsi="Times New Roman" w:eastAsia="宋体"/>
          <w:color w:val="auto"/>
          <w:sz w:val="28"/>
          <w:szCs w:val="24"/>
          <w:highlight w:val="none"/>
        </w:rPr>
        <w:t>N-甲基吡咯烷酮（</w:t>
      </w:r>
      <w:r>
        <w:rPr>
          <w:rFonts w:ascii="Times New Roman" w:hAnsi="Times New Roman" w:eastAsia="宋体"/>
          <w:color w:val="auto"/>
          <w:sz w:val="28"/>
          <w:szCs w:val="24"/>
          <w:highlight w:val="none"/>
        </w:rPr>
        <w:t>NMP）浓度探测装置，并应具备紧急停机状态下通风延时的功能；</w:t>
      </w:r>
    </w:p>
    <w:p w14:paraId="39E7C010">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采用</w:t>
      </w:r>
      <w:r>
        <w:rPr>
          <w:rFonts w:hint="eastAsia" w:ascii="Times New Roman" w:hAnsi="Times New Roman" w:eastAsia="宋体"/>
          <w:color w:val="auto"/>
          <w:sz w:val="28"/>
          <w:szCs w:val="24"/>
          <w:highlight w:val="none"/>
        </w:rPr>
        <w:t>N-</w:t>
      </w:r>
      <w:r>
        <w:rPr>
          <w:rFonts w:ascii="Times New Roman" w:hAnsi="Times New Roman" w:eastAsia="宋体"/>
          <w:color w:val="auto"/>
          <w:sz w:val="28"/>
          <w:szCs w:val="24"/>
          <w:highlight w:val="none"/>
        </w:rPr>
        <w:t>甲基吡咯烷酮（NMP）的涂布机烘道应设置</w:t>
      </w:r>
      <w:r>
        <w:rPr>
          <w:rFonts w:hint="eastAsia" w:ascii="Times New Roman" w:hAnsi="Times New Roman" w:eastAsia="宋体"/>
          <w:color w:val="auto"/>
          <w:sz w:val="28"/>
          <w:szCs w:val="24"/>
          <w:highlight w:val="none"/>
        </w:rPr>
        <w:t>N-甲基吡咯烷酮（</w:t>
      </w:r>
      <w:r>
        <w:rPr>
          <w:rFonts w:ascii="Times New Roman" w:hAnsi="Times New Roman" w:eastAsia="宋体"/>
          <w:color w:val="auto"/>
          <w:sz w:val="28"/>
          <w:szCs w:val="24"/>
          <w:highlight w:val="none"/>
        </w:rPr>
        <w:t>NMP）浓度自动实时监控及报警装置，并应设置不低于</w:t>
      </w:r>
      <w:r>
        <w:rPr>
          <w:rFonts w:hint="eastAsia" w:ascii="Times New Roman" w:hAnsi="Times New Roman" w:eastAsia="宋体"/>
          <w:color w:val="auto"/>
          <w:sz w:val="28"/>
          <w:szCs w:val="24"/>
          <w:highlight w:val="none"/>
        </w:rPr>
        <w:t>二</w:t>
      </w:r>
      <w:r>
        <w:rPr>
          <w:rFonts w:ascii="Times New Roman" w:hAnsi="Times New Roman" w:eastAsia="宋体"/>
          <w:color w:val="auto"/>
          <w:sz w:val="28"/>
          <w:szCs w:val="24"/>
          <w:highlight w:val="none"/>
        </w:rPr>
        <w:t>级的报警联动防护措施；</w:t>
      </w:r>
    </w:p>
    <w:p w14:paraId="0ABFF41E">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采用易燃溶剂的涂布工序，涂布机的烘箱段应采取泄压措施，</w:t>
      </w:r>
      <w:r>
        <w:rPr>
          <w:rFonts w:hint="eastAsia" w:ascii="Times New Roman" w:hAnsi="Times New Roman" w:eastAsia="宋体"/>
          <w:bCs/>
          <w:color w:val="auto"/>
          <w:sz w:val="28"/>
          <w:szCs w:val="24"/>
          <w:highlight w:val="none"/>
        </w:rPr>
        <w:t>当采用</w:t>
      </w:r>
      <w:r>
        <w:rPr>
          <w:rFonts w:hint="eastAsia" w:ascii="Times New Roman" w:hAnsi="Times New Roman" w:eastAsia="宋体"/>
          <w:color w:val="auto"/>
          <w:sz w:val="28"/>
          <w:szCs w:val="24"/>
          <w:highlight w:val="none"/>
        </w:rPr>
        <w:t>加热方式为电加热</w:t>
      </w:r>
      <w:r>
        <w:rPr>
          <w:rFonts w:hint="eastAsia" w:ascii="Times New Roman" w:hAnsi="Times New Roman" w:eastAsia="宋体"/>
          <w:bCs/>
          <w:color w:val="auto"/>
          <w:sz w:val="28"/>
          <w:szCs w:val="24"/>
          <w:highlight w:val="none"/>
        </w:rPr>
        <w:t>时，</w:t>
      </w:r>
      <w:r>
        <w:rPr>
          <w:rFonts w:hint="eastAsia" w:ascii="Times New Roman" w:hAnsi="Times New Roman" w:eastAsia="宋体"/>
          <w:color w:val="auto"/>
          <w:sz w:val="28"/>
          <w:szCs w:val="24"/>
          <w:highlight w:val="none"/>
        </w:rPr>
        <w:t>应采取超温保护和溶剂浓度超标连锁停止加热措施；</w:t>
      </w:r>
    </w:p>
    <w:p w14:paraId="0104CF43">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4 </w:t>
      </w:r>
      <w:r>
        <w:rPr>
          <w:rFonts w:hint="eastAsia" w:ascii="Times New Roman" w:hAnsi="Times New Roman" w:eastAsia="宋体"/>
          <w:color w:val="auto"/>
          <w:sz w:val="28"/>
          <w:szCs w:val="24"/>
          <w:highlight w:val="none"/>
        </w:rPr>
        <w:t xml:space="preserve"> 注液设备应具备电解液回收功能，并应具有防泄漏、防逸散功能；</w:t>
      </w:r>
    </w:p>
    <w:p w14:paraId="308FDED6">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5</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化成设备应自带安全诊断保护功能</w:t>
      </w:r>
      <w:r>
        <w:rPr>
          <w:rFonts w:hint="eastAsia" w:ascii="Times New Roman" w:hAnsi="Times New Roman" w:eastAsia="宋体"/>
          <w:color w:val="auto"/>
          <w:sz w:val="28"/>
          <w:szCs w:val="24"/>
          <w:highlight w:val="none"/>
        </w:rPr>
        <w:t>。采用立体货架式的化成、老化设备应使用不燃材料将每个化成、老化工位完整分隔，且每个工位应分别设置火灾报警和自动灭火系统</w:t>
      </w:r>
      <w:r>
        <w:rPr>
          <w:rFonts w:ascii="Times New Roman" w:hAnsi="Times New Roman" w:eastAsia="宋体"/>
          <w:color w:val="auto"/>
          <w:sz w:val="28"/>
          <w:szCs w:val="24"/>
          <w:highlight w:val="none"/>
        </w:rPr>
        <w:t>；</w:t>
      </w:r>
    </w:p>
    <w:p w14:paraId="1A8EB3B7">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6</w:t>
      </w:r>
      <w:r>
        <w:rPr>
          <w:rFonts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4"/>
          <w:highlight w:val="none"/>
        </w:rPr>
        <w:t xml:space="preserve"> </w:t>
      </w:r>
      <w:r>
        <w:rPr>
          <w:rFonts w:hint="eastAsia" w:ascii="Times New Roman" w:hAnsi="Times New Roman" w:eastAsia="宋体"/>
          <w:color w:val="auto"/>
          <w:sz w:val="28"/>
          <w:szCs w:val="24"/>
          <w:highlight w:val="none"/>
        </w:rPr>
        <w:t>电池包组装的高压连接区域的工艺设备应具有安全联锁、故障自诊断功能。</w:t>
      </w:r>
    </w:p>
    <w:p w14:paraId="6F91432A">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s="Times New Roman"/>
          <w:b/>
          <w:bCs/>
          <w:iCs/>
          <w:color w:val="auto"/>
          <w:kern w:val="0"/>
          <w:sz w:val="28"/>
          <w:szCs w:val="28"/>
          <w:highlight w:val="none"/>
        </w:rPr>
      </w:pPr>
      <w:bookmarkStart w:id="28" w:name="_Toc150330034"/>
      <w:bookmarkStart w:id="29" w:name="_Toc230621649"/>
      <w:bookmarkStart w:id="30" w:name="_Toc29978967"/>
      <w:bookmarkStart w:id="31" w:name="_Toc233018514"/>
      <w:bookmarkStart w:id="32" w:name="_Toc232688063"/>
      <w:r>
        <w:rPr>
          <w:rFonts w:ascii="Times New Roman" w:hAnsi="Times New Roman" w:eastAsia="宋体" w:cs="Times New Roman"/>
          <w:b/>
          <w:bCs/>
          <w:iCs/>
          <w:color w:val="auto"/>
          <w:kern w:val="0"/>
          <w:sz w:val="28"/>
          <w:szCs w:val="28"/>
          <w:highlight w:val="none"/>
        </w:rPr>
        <w:t xml:space="preserve">3.2  </w:t>
      </w:r>
      <w:r>
        <w:rPr>
          <w:rFonts w:hint="eastAsia" w:ascii="Times New Roman" w:hAnsi="Times New Roman" w:eastAsia="宋体" w:cs="Times New Roman"/>
          <w:b/>
          <w:bCs/>
          <w:iCs/>
          <w:color w:val="auto"/>
          <w:kern w:val="0"/>
          <w:sz w:val="28"/>
          <w:szCs w:val="28"/>
          <w:highlight w:val="none"/>
        </w:rPr>
        <w:t>生产</w:t>
      </w:r>
      <w:bookmarkEnd w:id="28"/>
      <w:bookmarkEnd w:id="29"/>
      <w:bookmarkEnd w:id="30"/>
      <w:r>
        <w:rPr>
          <w:rFonts w:hint="eastAsia" w:ascii="Times New Roman" w:hAnsi="Times New Roman" w:eastAsia="宋体" w:cs="Times New Roman"/>
          <w:b/>
          <w:bCs/>
          <w:iCs/>
          <w:color w:val="auto"/>
          <w:kern w:val="0"/>
          <w:sz w:val="28"/>
          <w:szCs w:val="28"/>
          <w:highlight w:val="none"/>
        </w:rPr>
        <w:t>厂房</w:t>
      </w:r>
      <w:bookmarkEnd w:id="31"/>
      <w:bookmarkEnd w:id="32"/>
    </w:p>
    <w:p w14:paraId="7F3FCEC9">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 xml:space="preserve">3.2.1  </w:t>
      </w:r>
      <w:r>
        <w:rPr>
          <w:rFonts w:ascii="Times New Roman" w:hAnsi="Times New Roman" w:eastAsia="宋体"/>
          <w:bCs/>
          <w:color w:val="auto"/>
          <w:sz w:val="28"/>
          <w:szCs w:val="24"/>
          <w:highlight w:val="none"/>
        </w:rPr>
        <w:t>生产厂房的布置除应满足生产工艺流程需要外，对于存在火灾、爆炸及有毒有害物质失控释放等安全风险的工序或场所，生产厂房的布置</w:t>
      </w:r>
      <w:r>
        <w:rPr>
          <w:rFonts w:hint="eastAsia" w:ascii="Times New Roman" w:hAnsi="Times New Roman" w:eastAsia="宋体"/>
          <w:bCs/>
          <w:color w:val="auto"/>
          <w:sz w:val="28"/>
          <w:szCs w:val="24"/>
          <w:highlight w:val="none"/>
        </w:rPr>
        <w:t>还</w:t>
      </w:r>
      <w:r>
        <w:rPr>
          <w:rFonts w:ascii="Times New Roman" w:hAnsi="Times New Roman" w:eastAsia="宋体"/>
          <w:bCs/>
          <w:color w:val="auto"/>
          <w:sz w:val="28"/>
          <w:szCs w:val="24"/>
          <w:highlight w:val="none"/>
        </w:rPr>
        <w:t>应有利于采取防火分隔及其他风险隔离措施。</w:t>
      </w:r>
    </w:p>
    <w:p w14:paraId="32CA95F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铅蓄电池生产设施中的熔铅、铸板及铅零件加工区域，分板刷板（耳）区域，化成、充电区域应</w:t>
      </w:r>
      <w:r>
        <w:rPr>
          <w:rFonts w:hint="eastAsia" w:ascii="Times New Roman" w:hAnsi="Times New Roman" w:eastAsia="宋体"/>
          <w:color w:val="auto"/>
          <w:sz w:val="28"/>
          <w:szCs w:val="24"/>
          <w:highlight w:val="none"/>
        </w:rPr>
        <w:t>分别</w:t>
      </w:r>
      <w:r>
        <w:rPr>
          <w:rFonts w:ascii="Times New Roman" w:hAnsi="Times New Roman" w:eastAsia="宋体"/>
          <w:color w:val="auto"/>
          <w:sz w:val="28"/>
          <w:szCs w:val="24"/>
          <w:highlight w:val="none"/>
        </w:rPr>
        <w:t>设置</w:t>
      </w:r>
      <w:r>
        <w:rPr>
          <w:rFonts w:hint="eastAsia" w:ascii="Times New Roman" w:hAnsi="Times New Roman" w:eastAsia="宋体"/>
          <w:color w:val="auto"/>
          <w:sz w:val="28"/>
          <w:szCs w:val="24"/>
          <w:highlight w:val="none"/>
        </w:rPr>
        <w:t>房间布置</w:t>
      </w:r>
      <w:r>
        <w:rPr>
          <w:rFonts w:ascii="Times New Roman" w:hAnsi="Times New Roman" w:eastAsia="宋体"/>
          <w:color w:val="auto"/>
          <w:sz w:val="28"/>
          <w:szCs w:val="24"/>
          <w:highlight w:val="none"/>
        </w:rPr>
        <w:t>。</w:t>
      </w:r>
    </w:p>
    <w:p w14:paraId="20E8C030">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锌锰电池生产设施中的石墨粉生产区域应与组装</w:t>
      </w:r>
      <w:r>
        <w:rPr>
          <w:rFonts w:hint="eastAsia" w:ascii="Times New Roman" w:hAnsi="Times New Roman" w:eastAsia="宋体"/>
          <w:color w:val="auto"/>
          <w:sz w:val="28"/>
          <w:szCs w:val="24"/>
          <w:highlight w:val="none"/>
        </w:rPr>
        <w:t>线分别设置房间布置。</w:t>
      </w:r>
    </w:p>
    <w:p w14:paraId="1C21AA89">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镍</w:t>
      </w:r>
      <w:r>
        <w:rPr>
          <w:rFonts w:hint="eastAsia" w:ascii="Times New Roman" w:hAnsi="Times New Roman" w:eastAsia="宋体"/>
          <w:color w:val="auto"/>
          <w:sz w:val="28"/>
          <w:szCs w:val="24"/>
          <w:highlight w:val="none"/>
        </w:rPr>
        <w:t>氢</w:t>
      </w:r>
      <w:r>
        <w:rPr>
          <w:rFonts w:ascii="Times New Roman" w:hAnsi="Times New Roman" w:eastAsia="宋体"/>
          <w:color w:val="auto"/>
          <w:sz w:val="28"/>
          <w:szCs w:val="24"/>
          <w:highlight w:val="none"/>
        </w:rPr>
        <w:t>蓄电池生产设施中的正负极极片生产间、正负极活性物质生产间及电池组装间应分别</w:t>
      </w:r>
      <w:r>
        <w:rPr>
          <w:rFonts w:hint="eastAsia" w:ascii="Times New Roman" w:hAnsi="Times New Roman" w:eastAsia="宋体"/>
          <w:color w:val="auto"/>
          <w:sz w:val="28"/>
          <w:szCs w:val="24"/>
          <w:highlight w:val="none"/>
        </w:rPr>
        <w:t>设置房间</w:t>
      </w:r>
      <w:r>
        <w:rPr>
          <w:rFonts w:ascii="Times New Roman" w:hAnsi="Times New Roman" w:eastAsia="宋体"/>
          <w:color w:val="auto"/>
          <w:sz w:val="28"/>
          <w:szCs w:val="24"/>
          <w:highlight w:val="none"/>
        </w:rPr>
        <w:t>布置。</w:t>
      </w:r>
    </w:p>
    <w:p w14:paraId="52980CFB">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5</w:t>
      </w:r>
      <w:r>
        <w:rPr>
          <w:rFonts w:ascii="Times New Roman" w:hAnsi="Times New Roman" w:eastAsia="宋体"/>
          <w:color w:val="auto"/>
          <w:sz w:val="28"/>
          <w:szCs w:val="24"/>
          <w:highlight w:val="none"/>
        </w:rPr>
        <w:t xml:space="preserve">  锂离子电池生产设施布置应符合下列规定：</w:t>
      </w:r>
    </w:p>
    <w:p w14:paraId="2E36D067">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制浆</w:t>
      </w:r>
      <w:r>
        <w:rPr>
          <w:rFonts w:ascii="Times New Roman" w:hAnsi="Times New Roman" w:eastAsia="宋体"/>
          <w:color w:val="auto"/>
          <w:sz w:val="28"/>
          <w:szCs w:val="24"/>
          <w:highlight w:val="none"/>
        </w:rPr>
        <w:t>、涂覆</w:t>
      </w:r>
      <w:r>
        <w:rPr>
          <w:rFonts w:hint="eastAsia" w:ascii="Times New Roman" w:hAnsi="Times New Roman" w:eastAsia="宋体"/>
          <w:color w:val="auto"/>
          <w:sz w:val="28"/>
          <w:szCs w:val="24"/>
          <w:highlight w:val="none"/>
        </w:rPr>
        <w:t>、辊压、裁切</w:t>
      </w:r>
      <w:r>
        <w:rPr>
          <w:rFonts w:ascii="Times New Roman" w:hAnsi="Times New Roman" w:eastAsia="宋体"/>
          <w:color w:val="auto"/>
          <w:sz w:val="28"/>
          <w:szCs w:val="24"/>
          <w:highlight w:val="none"/>
        </w:rPr>
        <w:t>工序</w:t>
      </w:r>
      <w:r>
        <w:rPr>
          <w:rFonts w:hint="eastAsia" w:ascii="Times New Roman" w:hAnsi="Times New Roman" w:eastAsia="宋体"/>
          <w:color w:val="auto"/>
          <w:sz w:val="28"/>
          <w:szCs w:val="24"/>
          <w:highlight w:val="none"/>
        </w:rPr>
        <w:t>及电极卷料中间仓库</w:t>
      </w:r>
      <w:r>
        <w:rPr>
          <w:rFonts w:ascii="Times New Roman" w:hAnsi="Times New Roman" w:eastAsia="宋体"/>
          <w:color w:val="auto"/>
          <w:sz w:val="28"/>
          <w:szCs w:val="24"/>
          <w:highlight w:val="none"/>
        </w:rPr>
        <w:t>应按正、负极分别设置</w:t>
      </w:r>
      <w:r>
        <w:rPr>
          <w:rFonts w:hint="eastAsia" w:ascii="Times New Roman" w:hAnsi="Times New Roman" w:eastAsia="宋体"/>
          <w:color w:val="auto"/>
          <w:sz w:val="28"/>
          <w:szCs w:val="24"/>
          <w:highlight w:val="none"/>
        </w:rPr>
        <w:t>房间布置</w:t>
      </w:r>
      <w:r>
        <w:rPr>
          <w:rFonts w:ascii="Times New Roman" w:hAnsi="Times New Roman" w:eastAsia="宋体"/>
          <w:color w:val="auto"/>
          <w:sz w:val="28"/>
          <w:szCs w:val="24"/>
          <w:highlight w:val="none"/>
        </w:rPr>
        <w:t>；</w:t>
      </w:r>
    </w:p>
    <w:p w14:paraId="07E5C362">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电芯卷绕</w:t>
      </w:r>
      <w:r>
        <w:rPr>
          <w:rFonts w:hint="eastAsia" w:ascii="Times New Roman" w:hAnsi="Times New Roman" w:eastAsia="宋体"/>
          <w:color w:val="auto"/>
          <w:sz w:val="28"/>
          <w:szCs w:val="24"/>
          <w:highlight w:val="none"/>
        </w:rPr>
        <w:t>或</w:t>
      </w:r>
      <w:r>
        <w:rPr>
          <w:rFonts w:ascii="Times New Roman" w:hAnsi="Times New Roman" w:eastAsia="宋体"/>
          <w:color w:val="auto"/>
          <w:sz w:val="28"/>
          <w:szCs w:val="24"/>
          <w:highlight w:val="none"/>
        </w:rPr>
        <w:t>叠片</w:t>
      </w:r>
      <w:r>
        <w:rPr>
          <w:rFonts w:hint="eastAsia" w:ascii="Times New Roman" w:hAnsi="Times New Roman" w:eastAsia="宋体"/>
          <w:color w:val="auto"/>
          <w:sz w:val="28"/>
          <w:szCs w:val="24"/>
          <w:highlight w:val="none"/>
        </w:rPr>
        <w:t>工序</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一次</w:t>
      </w:r>
      <w:r>
        <w:rPr>
          <w:rFonts w:ascii="Times New Roman" w:hAnsi="Times New Roman" w:eastAsia="宋体"/>
          <w:color w:val="auto"/>
          <w:sz w:val="28"/>
          <w:szCs w:val="24"/>
          <w:highlight w:val="none"/>
        </w:rPr>
        <w:t>注液化成</w:t>
      </w:r>
      <w:r>
        <w:rPr>
          <w:rFonts w:hint="eastAsia" w:ascii="Times New Roman" w:hAnsi="Times New Roman" w:eastAsia="宋体"/>
          <w:color w:val="auto"/>
          <w:sz w:val="28"/>
          <w:szCs w:val="24"/>
          <w:highlight w:val="none"/>
        </w:rPr>
        <w:t>工序</w:t>
      </w:r>
      <w:r>
        <w:rPr>
          <w:rFonts w:ascii="Times New Roman" w:hAnsi="Times New Roman" w:eastAsia="宋体"/>
          <w:color w:val="auto"/>
          <w:sz w:val="28"/>
          <w:szCs w:val="24"/>
          <w:highlight w:val="none"/>
        </w:rPr>
        <w:t>、封装工序应分别</w:t>
      </w:r>
      <w:r>
        <w:rPr>
          <w:rFonts w:hint="eastAsia" w:ascii="Times New Roman" w:hAnsi="Times New Roman" w:eastAsia="宋体"/>
          <w:color w:val="auto"/>
          <w:sz w:val="28"/>
          <w:szCs w:val="24"/>
          <w:highlight w:val="none"/>
        </w:rPr>
        <w:t>设置房间布置</w:t>
      </w:r>
      <w:r>
        <w:rPr>
          <w:rFonts w:ascii="Times New Roman" w:hAnsi="Times New Roman" w:eastAsia="宋体"/>
          <w:color w:val="auto"/>
          <w:sz w:val="28"/>
          <w:szCs w:val="24"/>
          <w:highlight w:val="none"/>
        </w:rPr>
        <w:t>；</w:t>
      </w:r>
    </w:p>
    <w:p w14:paraId="1485306A">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火灾危险性为甲、乙类的电解液储存罐应与注液设备分室放置；</w:t>
      </w:r>
    </w:p>
    <w:p w14:paraId="549F139F">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火灾危险性为甲、乙类的电解液储存间及配送间应靠外墙布置并应设置泄压设施；</w:t>
      </w:r>
    </w:p>
    <w:p w14:paraId="75C08EAE">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5</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相对湿度低于1%的房间内不应设置变形缝；</w:t>
      </w:r>
    </w:p>
    <w:p w14:paraId="772E93D5">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电池包组装的高压连接区域应与其他区域隔离，并应设置安全警示标志。</w:t>
      </w:r>
    </w:p>
    <w:p w14:paraId="50EA3E80">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不同类型的电池破坏性测试应</w:t>
      </w:r>
      <w:r>
        <w:rPr>
          <w:rFonts w:hint="eastAsia" w:ascii="Times New Roman" w:hAnsi="Times New Roman" w:eastAsia="宋体"/>
          <w:color w:val="auto"/>
          <w:sz w:val="28"/>
          <w:szCs w:val="24"/>
          <w:highlight w:val="none"/>
        </w:rPr>
        <w:t>设置独立房间</w:t>
      </w:r>
      <w:r>
        <w:rPr>
          <w:rFonts w:ascii="Times New Roman" w:hAnsi="Times New Roman" w:eastAsia="宋体"/>
          <w:color w:val="auto"/>
          <w:sz w:val="28"/>
          <w:szCs w:val="24"/>
          <w:highlight w:val="none"/>
        </w:rPr>
        <w:t>，且测试操作台不应与被测电池置于同一房间。</w:t>
      </w:r>
    </w:p>
    <w:p w14:paraId="456C9289">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3.2.</w:t>
      </w:r>
      <w:r>
        <w:rPr>
          <w:rFonts w:hint="eastAsia" w:ascii="Times New Roman" w:hAnsi="Times New Roman" w:eastAsia="宋体"/>
          <w:bCs/>
          <w:color w:val="auto"/>
          <w:sz w:val="28"/>
          <w:szCs w:val="24"/>
          <w:highlight w:val="none"/>
        </w:rPr>
        <w:t>7</w:t>
      </w:r>
      <w:r>
        <w:rPr>
          <w:rFonts w:ascii="Times New Roman" w:hAnsi="Times New Roman" w:eastAsia="宋体"/>
          <w:color w:val="auto"/>
          <w:sz w:val="28"/>
          <w:szCs w:val="24"/>
          <w:highlight w:val="none"/>
        </w:rPr>
        <w:t xml:space="preserve">  锂离子动力电池安全检测实验室中的电池过充、针刺、挤压及短路试验室应设泄</w:t>
      </w:r>
      <w:r>
        <w:rPr>
          <w:rFonts w:hint="eastAsia" w:ascii="Times New Roman" w:hAnsi="Times New Roman" w:eastAsia="宋体"/>
          <w:color w:val="auto"/>
          <w:sz w:val="28"/>
          <w:szCs w:val="24"/>
          <w:highlight w:val="none"/>
        </w:rPr>
        <w:t>压</w:t>
      </w:r>
      <w:r>
        <w:rPr>
          <w:rFonts w:ascii="Times New Roman" w:hAnsi="Times New Roman" w:eastAsia="宋体"/>
          <w:color w:val="auto"/>
          <w:sz w:val="28"/>
          <w:szCs w:val="24"/>
          <w:highlight w:val="none"/>
        </w:rPr>
        <w:t>设施，且应采用耐火极限不低于3.00h的</w:t>
      </w:r>
      <w:r>
        <w:rPr>
          <w:rFonts w:hint="eastAsia" w:ascii="Times New Roman" w:hAnsi="Times New Roman" w:eastAsia="宋体"/>
          <w:color w:val="auto"/>
          <w:sz w:val="28"/>
          <w:szCs w:val="24"/>
          <w:highlight w:val="none"/>
        </w:rPr>
        <w:t>隔</w:t>
      </w:r>
      <w:r>
        <w:rPr>
          <w:rFonts w:ascii="Times New Roman" w:hAnsi="Times New Roman" w:eastAsia="宋体"/>
          <w:color w:val="auto"/>
          <w:sz w:val="28"/>
          <w:szCs w:val="24"/>
          <w:highlight w:val="none"/>
        </w:rPr>
        <w:t>墙与其它房间分隔。</w:t>
      </w:r>
    </w:p>
    <w:p w14:paraId="2D3B8309">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ascii="Times New Roman" w:hAnsi="Times New Roman" w:eastAsia="宋体"/>
          <w:bCs/>
          <w:color w:val="auto"/>
          <w:sz w:val="28"/>
          <w:szCs w:val="24"/>
          <w:highlight w:val="none"/>
        </w:rPr>
        <w:t>3.2.8</w:t>
      </w:r>
      <w:r>
        <w:rPr>
          <w:rFonts w:ascii="Times New Roman" w:hAnsi="Times New Roman" w:eastAsia="宋体"/>
          <w:color w:val="auto"/>
          <w:sz w:val="28"/>
          <w:szCs w:val="24"/>
          <w:highlight w:val="none"/>
        </w:rPr>
        <w:t xml:space="preserve">  </w:t>
      </w:r>
      <w:r>
        <w:rPr>
          <w:rFonts w:ascii="Times New Roman" w:hAnsi="Times New Roman" w:eastAsia="宋体"/>
          <w:bCs/>
          <w:color w:val="auto"/>
          <w:sz w:val="28"/>
          <w:szCs w:val="24"/>
          <w:highlight w:val="none"/>
        </w:rPr>
        <w:t>丙类锂离子电池</w:t>
      </w:r>
      <w:r>
        <w:rPr>
          <w:rFonts w:hint="eastAsia" w:ascii="Times New Roman" w:hAnsi="Times New Roman" w:eastAsia="宋体"/>
          <w:bCs/>
          <w:color w:val="auto"/>
          <w:sz w:val="28"/>
          <w:szCs w:val="24"/>
          <w:highlight w:val="none"/>
        </w:rPr>
        <w:t>生产</w:t>
      </w:r>
      <w:r>
        <w:rPr>
          <w:rFonts w:ascii="Times New Roman" w:hAnsi="Times New Roman" w:eastAsia="宋体"/>
          <w:bCs/>
          <w:color w:val="auto"/>
          <w:sz w:val="28"/>
          <w:szCs w:val="24"/>
          <w:highlight w:val="none"/>
        </w:rPr>
        <w:t>厂房的安全疏散距离应符合下列规定：</w:t>
      </w:r>
    </w:p>
    <w:p w14:paraId="5F1EAA7D">
      <w:pPr>
        <w:pStyle w:val="40"/>
        <w:adjustRightInd w:val="0"/>
        <w:snapToGrid w:val="0"/>
        <w:spacing w:line="360" w:lineRule="auto"/>
        <w:ind w:firstLine="660" w:firstLineChars="236"/>
        <w:rPr>
          <w:rFonts w:ascii="Times New Roman" w:hAnsi="Times New Roman" w:eastAsia="宋体"/>
          <w:bCs/>
          <w:color w:val="auto"/>
          <w:sz w:val="28"/>
          <w:szCs w:val="24"/>
          <w:highlight w:val="none"/>
        </w:rPr>
      </w:pP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 xml:space="preserve">  </w:t>
      </w:r>
      <w:r>
        <w:rPr>
          <w:rFonts w:ascii="Times New Roman" w:hAnsi="Times New Roman" w:eastAsia="宋体"/>
          <w:bCs/>
          <w:color w:val="auto"/>
          <w:sz w:val="28"/>
          <w:szCs w:val="24"/>
          <w:highlight w:val="none"/>
        </w:rPr>
        <w:t>厂房洁净生产区，当在生产设备区域设有火灾报警和</w:t>
      </w:r>
      <w:r>
        <w:rPr>
          <w:rFonts w:hint="eastAsia" w:ascii="Times New Roman" w:hAnsi="Times New Roman" w:eastAsia="宋体"/>
          <w:bCs/>
          <w:color w:val="auto"/>
          <w:sz w:val="28"/>
          <w:szCs w:val="24"/>
          <w:highlight w:val="none"/>
        </w:rPr>
        <w:t>自动</w:t>
      </w:r>
      <w:r>
        <w:rPr>
          <w:rFonts w:ascii="Times New Roman" w:hAnsi="Times New Roman" w:eastAsia="宋体"/>
          <w:bCs/>
          <w:color w:val="auto"/>
          <w:sz w:val="28"/>
          <w:szCs w:val="24"/>
          <w:highlight w:val="none"/>
        </w:rPr>
        <w:t>灭火</w:t>
      </w:r>
      <w:r>
        <w:rPr>
          <w:rFonts w:hint="eastAsia" w:ascii="Times New Roman" w:hAnsi="Times New Roman" w:eastAsia="宋体"/>
          <w:bCs/>
          <w:color w:val="auto"/>
          <w:sz w:val="28"/>
          <w:szCs w:val="24"/>
          <w:highlight w:val="none"/>
        </w:rPr>
        <w:t>系统</w:t>
      </w:r>
      <w:r>
        <w:rPr>
          <w:rFonts w:ascii="Times New Roman" w:hAnsi="Times New Roman" w:eastAsia="宋体"/>
          <w:bCs/>
          <w:color w:val="auto"/>
          <w:sz w:val="28"/>
          <w:szCs w:val="24"/>
          <w:highlight w:val="none"/>
        </w:rPr>
        <w:t>，以及回风气流中设有灵敏度严于0.01%obs/m的早期火灾报警探测系统时，</w:t>
      </w:r>
      <w:r>
        <w:rPr>
          <w:rFonts w:hint="eastAsia" w:ascii="Times New Roman" w:hAnsi="Times New Roman" w:eastAsia="宋体"/>
          <w:bCs/>
          <w:color w:val="auto"/>
          <w:sz w:val="28"/>
          <w:szCs w:val="24"/>
          <w:highlight w:val="none"/>
        </w:rPr>
        <w:t>其</w:t>
      </w:r>
      <w:r>
        <w:rPr>
          <w:rFonts w:ascii="Times New Roman" w:hAnsi="Times New Roman" w:eastAsia="宋体"/>
          <w:bCs/>
          <w:color w:val="auto"/>
          <w:sz w:val="28"/>
          <w:szCs w:val="24"/>
          <w:highlight w:val="none"/>
        </w:rPr>
        <w:t>安全疏散距离</w:t>
      </w:r>
      <w:r>
        <w:rPr>
          <w:rFonts w:hint="eastAsia" w:ascii="Times New Roman" w:hAnsi="Times New Roman" w:eastAsia="宋体"/>
          <w:bCs/>
          <w:color w:val="auto"/>
          <w:sz w:val="28"/>
          <w:szCs w:val="24"/>
          <w:highlight w:val="none"/>
        </w:rPr>
        <w:t>应符合下列要求：</w:t>
      </w:r>
    </w:p>
    <w:p w14:paraId="367F5C6C">
      <w:pPr>
        <w:pStyle w:val="40"/>
        <w:adjustRightInd w:val="0"/>
        <w:snapToGrid w:val="0"/>
        <w:spacing w:line="360" w:lineRule="auto"/>
        <w:ind w:firstLine="660" w:firstLineChars="236"/>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1）单层厂房</w:t>
      </w:r>
      <w:r>
        <w:rPr>
          <w:rFonts w:ascii="Times New Roman" w:hAnsi="Times New Roman" w:eastAsia="宋体"/>
          <w:bCs/>
          <w:color w:val="auto"/>
          <w:sz w:val="28"/>
          <w:szCs w:val="24"/>
          <w:highlight w:val="none"/>
        </w:rPr>
        <w:t>不应大于</w:t>
      </w:r>
      <w:r>
        <w:rPr>
          <w:rFonts w:hint="eastAsia" w:ascii="Times New Roman" w:hAnsi="Times New Roman" w:eastAsia="宋体"/>
          <w:bCs/>
          <w:color w:val="auto"/>
          <w:sz w:val="28"/>
          <w:szCs w:val="24"/>
          <w:highlight w:val="none"/>
        </w:rPr>
        <w:t>120m；</w:t>
      </w:r>
    </w:p>
    <w:p w14:paraId="4F095AFF">
      <w:pPr>
        <w:pStyle w:val="40"/>
        <w:adjustRightInd w:val="0"/>
        <w:snapToGrid w:val="0"/>
        <w:spacing w:line="360" w:lineRule="auto"/>
        <w:ind w:firstLine="660" w:firstLineChars="236"/>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2）多层厂房</w:t>
      </w:r>
      <w:r>
        <w:rPr>
          <w:rFonts w:ascii="Times New Roman" w:hAnsi="Times New Roman" w:eastAsia="宋体"/>
          <w:bCs/>
          <w:color w:val="auto"/>
          <w:sz w:val="28"/>
          <w:szCs w:val="24"/>
          <w:highlight w:val="none"/>
        </w:rPr>
        <w:t>不应大于90</w:t>
      </w:r>
      <w:r>
        <w:rPr>
          <w:rFonts w:hint="eastAsia" w:ascii="Times New Roman" w:hAnsi="Times New Roman" w:eastAsia="宋体"/>
          <w:bCs/>
          <w:color w:val="auto"/>
          <w:sz w:val="28"/>
          <w:szCs w:val="24"/>
          <w:highlight w:val="none"/>
        </w:rPr>
        <w:t>m；</w:t>
      </w:r>
    </w:p>
    <w:p w14:paraId="34F4D895">
      <w:pPr>
        <w:pStyle w:val="40"/>
        <w:adjustRightInd w:val="0"/>
        <w:snapToGrid w:val="0"/>
        <w:spacing w:line="360" w:lineRule="auto"/>
        <w:ind w:firstLine="660" w:firstLineChars="236"/>
        <w:rPr>
          <w:rFonts w:ascii="Times New Roman" w:hAnsi="Times New Roman" w:eastAsia="宋体"/>
          <w:color w:val="auto"/>
          <w:kern w:val="44"/>
          <w:sz w:val="28"/>
          <w:szCs w:val="32"/>
          <w:highlight w:val="none"/>
        </w:rPr>
      </w:pPr>
      <w:r>
        <w:rPr>
          <w:rFonts w:hint="eastAsia" w:ascii="Times New Roman" w:hAnsi="Times New Roman" w:eastAsia="宋体"/>
          <w:bCs/>
          <w:color w:val="auto"/>
          <w:sz w:val="28"/>
          <w:szCs w:val="24"/>
          <w:highlight w:val="none"/>
        </w:rPr>
        <w:t>3）高层厂房</w:t>
      </w:r>
      <w:r>
        <w:rPr>
          <w:rFonts w:ascii="Times New Roman" w:hAnsi="Times New Roman" w:eastAsia="宋体"/>
          <w:bCs/>
          <w:color w:val="auto"/>
          <w:sz w:val="28"/>
          <w:szCs w:val="24"/>
          <w:highlight w:val="none"/>
        </w:rPr>
        <w:t>不应大于</w:t>
      </w:r>
      <w:r>
        <w:rPr>
          <w:rFonts w:hint="eastAsia" w:ascii="Times New Roman" w:hAnsi="Times New Roman" w:eastAsia="宋体"/>
          <w:bCs/>
          <w:color w:val="auto"/>
          <w:sz w:val="28"/>
          <w:szCs w:val="24"/>
          <w:highlight w:val="none"/>
        </w:rPr>
        <w:t>6</w:t>
      </w:r>
      <w:r>
        <w:rPr>
          <w:rFonts w:ascii="Times New Roman" w:hAnsi="Times New Roman" w:eastAsia="宋体"/>
          <w:bCs/>
          <w:color w:val="auto"/>
          <w:sz w:val="28"/>
          <w:szCs w:val="24"/>
          <w:highlight w:val="none"/>
        </w:rPr>
        <w:t>0</w:t>
      </w:r>
      <w:r>
        <w:rPr>
          <w:rFonts w:hint="eastAsia" w:ascii="Times New Roman" w:hAnsi="Times New Roman" w:eastAsia="宋体"/>
          <w:bCs/>
          <w:color w:val="auto"/>
          <w:sz w:val="28"/>
          <w:szCs w:val="24"/>
          <w:highlight w:val="none"/>
        </w:rPr>
        <w:t>m</w:t>
      </w:r>
      <w:r>
        <w:rPr>
          <w:rFonts w:ascii="Times New Roman" w:hAnsi="Times New Roman" w:eastAsia="宋体"/>
          <w:bCs/>
          <w:color w:val="auto"/>
          <w:sz w:val="28"/>
          <w:szCs w:val="24"/>
          <w:highlight w:val="none"/>
        </w:rPr>
        <w:t>。</w:t>
      </w:r>
    </w:p>
    <w:p w14:paraId="30258DD8">
      <w:pPr>
        <w:pStyle w:val="40"/>
        <w:adjustRightInd w:val="0"/>
        <w:snapToGrid w:val="0"/>
        <w:spacing w:line="360" w:lineRule="auto"/>
        <w:ind w:firstLine="660" w:firstLineChars="236"/>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4"/>
          <w:highlight w:val="none"/>
          <w:lang w:val="en-US" w:eastAsia="zh-CN"/>
        </w:rPr>
        <w:t xml:space="preserve"> </w:t>
      </w:r>
      <w:r>
        <w:rPr>
          <w:rFonts w:ascii="Times New Roman" w:hAnsi="Times New Roman" w:eastAsia="宋体"/>
          <w:bCs/>
          <w:color w:val="auto"/>
          <w:sz w:val="28"/>
          <w:szCs w:val="24"/>
          <w:highlight w:val="none"/>
        </w:rPr>
        <w:t>当</w:t>
      </w:r>
      <w:r>
        <w:rPr>
          <w:rFonts w:hint="eastAsia" w:ascii="Times New Roman" w:hAnsi="Times New Roman" w:eastAsia="宋体"/>
          <w:bCs/>
          <w:color w:val="auto"/>
          <w:sz w:val="28"/>
          <w:szCs w:val="24"/>
          <w:highlight w:val="none"/>
        </w:rPr>
        <w:t>厂房首层非洁净生产区的</w:t>
      </w:r>
      <w:r>
        <w:rPr>
          <w:rFonts w:ascii="Times New Roman" w:hAnsi="Times New Roman" w:eastAsia="宋体"/>
          <w:bCs/>
          <w:color w:val="auto"/>
          <w:sz w:val="28"/>
          <w:szCs w:val="24"/>
          <w:highlight w:val="none"/>
        </w:rPr>
        <w:t>人员密度</w:t>
      </w:r>
      <w:r>
        <w:rPr>
          <w:rFonts w:hint="eastAsia" w:ascii="Times New Roman" w:hAnsi="Times New Roman" w:eastAsia="宋体"/>
          <w:bCs/>
          <w:color w:val="auto"/>
          <w:sz w:val="28"/>
          <w:szCs w:val="24"/>
          <w:highlight w:val="none"/>
        </w:rPr>
        <w:t>不大于</w:t>
      </w:r>
      <w:r>
        <w:rPr>
          <w:rFonts w:ascii="Times New Roman" w:hAnsi="Times New Roman" w:eastAsia="宋体"/>
          <w:bCs/>
          <w:color w:val="auto"/>
          <w:sz w:val="28"/>
          <w:szCs w:val="24"/>
          <w:highlight w:val="none"/>
        </w:rPr>
        <w:t>0.02人/m</w:t>
      </w:r>
      <w:r>
        <w:rPr>
          <w:rFonts w:ascii="Times New Roman" w:hAnsi="Times New Roman" w:eastAsia="宋体"/>
          <w:bCs/>
          <w:color w:val="auto"/>
          <w:sz w:val="28"/>
          <w:szCs w:val="24"/>
          <w:highlight w:val="none"/>
          <w:vertAlign w:val="superscript"/>
        </w:rPr>
        <w:t>2</w:t>
      </w:r>
      <w:r>
        <w:rPr>
          <w:rFonts w:hint="eastAsia" w:ascii="Times New Roman" w:hAnsi="Times New Roman" w:eastAsia="宋体"/>
          <w:bCs/>
          <w:color w:val="auto"/>
          <w:sz w:val="28"/>
          <w:szCs w:val="24"/>
          <w:highlight w:val="none"/>
        </w:rPr>
        <w:t>，且</w:t>
      </w:r>
      <w:r>
        <w:rPr>
          <w:rFonts w:ascii="Times New Roman" w:hAnsi="Times New Roman" w:eastAsia="宋体"/>
          <w:bCs/>
          <w:color w:val="auto"/>
          <w:sz w:val="28"/>
          <w:szCs w:val="24"/>
          <w:highlight w:val="none"/>
        </w:rPr>
        <w:t>设有火灾报警和</w:t>
      </w:r>
      <w:r>
        <w:rPr>
          <w:rFonts w:hint="eastAsia" w:ascii="Times New Roman" w:hAnsi="Times New Roman" w:eastAsia="宋体"/>
          <w:bCs/>
          <w:color w:val="auto"/>
          <w:sz w:val="28"/>
          <w:szCs w:val="24"/>
          <w:highlight w:val="none"/>
        </w:rPr>
        <w:t>自动灭火系统时</w:t>
      </w:r>
      <w:r>
        <w:rPr>
          <w:rFonts w:ascii="Times New Roman" w:hAnsi="Times New Roman" w:eastAsia="宋体"/>
          <w:bCs/>
          <w:color w:val="auto"/>
          <w:sz w:val="28"/>
          <w:szCs w:val="24"/>
          <w:highlight w:val="none"/>
        </w:rPr>
        <w:t>，其</w:t>
      </w:r>
      <w:r>
        <w:rPr>
          <w:rFonts w:hint="eastAsia" w:ascii="Times New Roman" w:hAnsi="Times New Roman" w:eastAsia="宋体"/>
          <w:bCs/>
          <w:color w:val="auto"/>
          <w:sz w:val="28"/>
          <w:szCs w:val="24"/>
          <w:highlight w:val="none"/>
        </w:rPr>
        <w:t>安全</w:t>
      </w:r>
      <w:r>
        <w:rPr>
          <w:rFonts w:ascii="Times New Roman" w:hAnsi="Times New Roman" w:eastAsia="宋体"/>
          <w:bCs/>
          <w:color w:val="auto"/>
          <w:sz w:val="28"/>
          <w:szCs w:val="24"/>
          <w:highlight w:val="none"/>
        </w:rPr>
        <w:t>疏散距离不应大于120m。</w:t>
      </w:r>
    </w:p>
    <w:p w14:paraId="2BBF5669">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3</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9</w:t>
      </w:r>
      <w:r>
        <w:rPr>
          <w:rFonts w:ascii="Times New Roman" w:hAnsi="Times New Roman" w:eastAsia="宋体"/>
          <w:color w:val="auto"/>
          <w:sz w:val="28"/>
          <w:szCs w:val="24"/>
          <w:highlight w:val="none"/>
        </w:rPr>
        <w:t xml:space="preserve">  铅蓄电池、镍</w:t>
      </w:r>
      <w:r>
        <w:rPr>
          <w:rFonts w:hint="eastAsia" w:ascii="Times New Roman" w:hAnsi="Times New Roman" w:eastAsia="宋体"/>
          <w:color w:val="auto"/>
          <w:sz w:val="28"/>
          <w:szCs w:val="24"/>
          <w:highlight w:val="none"/>
        </w:rPr>
        <w:t>氢</w:t>
      </w:r>
      <w:r>
        <w:rPr>
          <w:rFonts w:ascii="Times New Roman" w:hAnsi="Times New Roman" w:eastAsia="宋体"/>
          <w:color w:val="auto"/>
          <w:sz w:val="28"/>
          <w:szCs w:val="24"/>
          <w:highlight w:val="none"/>
        </w:rPr>
        <w:t>蓄电池、锌锰电池的注液、化成生产区域的地面、墙面、柱面应采</w:t>
      </w:r>
      <w:r>
        <w:rPr>
          <w:rFonts w:hint="eastAsia" w:ascii="Times New Roman" w:hAnsi="Times New Roman" w:eastAsia="宋体"/>
          <w:color w:val="auto"/>
          <w:sz w:val="28"/>
          <w:szCs w:val="24"/>
          <w:highlight w:val="none"/>
        </w:rPr>
        <w:t>取</w:t>
      </w:r>
      <w:r>
        <w:rPr>
          <w:rFonts w:ascii="Times New Roman" w:hAnsi="Times New Roman" w:eastAsia="宋体"/>
          <w:color w:val="auto"/>
          <w:sz w:val="28"/>
          <w:szCs w:val="24"/>
          <w:highlight w:val="none"/>
        </w:rPr>
        <w:t>防腐蚀措施。</w:t>
      </w:r>
    </w:p>
    <w:p w14:paraId="6662C3C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3</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10</w:t>
      </w:r>
      <w:r>
        <w:rPr>
          <w:rFonts w:ascii="Times New Roman" w:hAnsi="Times New Roman" w:eastAsia="宋体"/>
          <w:color w:val="auto"/>
          <w:sz w:val="28"/>
          <w:szCs w:val="24"/>
          <w:highlight w:val="none"/>
        </w:rPr>
        <w:t xml:space="preserve">  锂离子电池的化成、老化区域应采用耐火极限不低于</w:t>
      </w:r>
      <w:r>
        <w:rPr>
          <w:rFonts w:hint="eastAsia" w:ascii="Times New Roman" w:hAnsi="Times New Roman" w:eastAsia="宋体"/>
          <w:color w:val="auto"/>
          <w:sz w:val="28"/>
          <w:szCs w:val="24"/>
          <w:highlight w:val="none"/>
        </w:rPr>
        <w:t>3</w:t>
      </w:r>
      <w:r>
        <w:rPr>
          <w:rFonts w:ascii="Times New Roman" w:hAnsi="Times New Roman" w:eastAsia="宋体"/>
          <w:color w:val="auto"/>
          <w:sz w:val="28"/>
          <w:szCs w:val="24"/>
          <w:highlight w:val="none"/>
        </w:rPr>
        <w:t>.00h的防火隔墙和1.50h的楼板与其他部位分隔。</w:t>
      </w:r>
    </w:p>
    <w:p w14:paraId="75FE5826">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3</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11</w:t>
      </w:r>
      <w:r>
        <w:rPr>
          <w:rFonts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4"/>
          <w:highlight w:val="none"/>
        </w:rPr>
        <w:t>存放</w:t>
      </w:r>
      <w:r>
        <w:rPr>
          <w:rFonts w:ascii="Times New Roman" w:hAnsi="Times New Roman" w:eastAsia="宋体"/>
          <w:bCs/>
          <w:color w:val="auto"/>
          <w:sz w:val="28"/>
          <w:szCs w:val="24"/>
          <w:highlight w:val="none"/>
        </w:rPr>
        <w:t>PVB膜、EVA膜等可燃固体的中间仓库应采用</w:t>
      </w:r>
      <w:r>
        <w:rPr>
          <w:rFonts w:hint="eastAsia" w:ascii="Times New Roman" w:hAnsi="Times New Roman" w:eastAsia="宋体"/>
          <w:bCs/>
          <w:color w:val="auto"/>
          <w:sz w:val="28"/>
          <w:szCs w:val="24"/>
          <w:highlight w:val="none"/>
        </w:rPr>
        <w:t>耐火极限不低于</w:t>
      </w:r>
      <w:r>
        <w:rPr>
          <w:rFonts w:ascii="Times New Roman" w:hAnsi="Times New Roman" w:eastAsia="宋体"/>
          <w:bCs/>
          <w:color w:val="auto"/>
          <w:sz w:val="28"/>
          <w:szCs w:val="24"/>
          <w:highlight w:val="none"/>
        </w:rPr>
        <w:t>4.0</w:t>
      </w:r>
      <w:r>
        <w:rPr>
          <w:rFonts w:hint="eastAsia" w:ascii="Times New Roman" w:hAnsi="Times New Roman" w:eastAsia="宋体"/>
          <w:bCs/>
          <w:color w:val="auto"/>
          <w:sz w:val="28"/>
          <w:szCs w:val="24"/>
          <w:highlight w:val="none"/>
        </w:rPr>
        <w:t>0</w:t>
      </w:r>
      <w:r>
        <w:rPr>
          <w:rFonts w:ascii="Times New Roman" w:hAnsi="Times New Roman" w:eastAsia="宋体"/>
          <w:bCs/>
          <w:color w:val="auto"/>
          <w:sz w:val="28"/>
          <w:szCs w:val="24"/>
          <w:highlight w:val="none"/>
        </w:rPr>
        <w:t>h的防火墙和耐火极限不低于1.50h的不燃</w:t>
      </w:r>
      <w:r>
        <w:rPr>
          <w:rFonts w:hint="eastAsia" w:ascii="Times New Roman" w:hAnsi="Times New Roman" w:eastAsia="宋体"/>
          <w:bCs/>
          <w:color w:val="auto"/>
          <w:sz w:val="28"/>
          <w:szCs w:val="24"/>
          <w:highlight w:val="none"/>
        </w:rPr>
        <w:t>体</w:t>
      </w:r>
      <w:r>
        <w:rPr>
          <w:rFonts w:ascii="Times New Roman" w:hAnsi="Times New Roman" w:eastAsia="宋体"/>
          <w:bCs/>
          <w:color w:val="auto"/>
          <w:sz w:val="28"/>
          <w:szCs w:val="24"/>
          <w:highlight w:val="none"/>
        </w:rPr>
        <w:t>楼板与其它部分分隔。</w:t>
      </w:r>
    </w:p>
    <w:p w14:paraId="48A546F0">
      <w:pPr>
        <w:pStyle w:val="40"/>
        <w:adjustRightInd w:val="0"/>
        <w:snapToGrid w:val="0"/>
        <w:spacing w:line="360" w:lineRule="auto"/>
        <w:ind w:firstLine="0" w:firstLineChars="0"/>
        <w:rPr>
          <w:rFonts w:ascii="Times New Roman" w:hAnsi="Times New Roman" w:eastAsia="宋体"/>
          <w:bCs/>
          <w:color w:val="auto"/>
          <w:sz w:val="28"/>
          <w:szCs w:val="24"/>
          <w:highlight w:val="none"/>
        </w:rPr>
      </w:pPr>
    </w:p>
    <w:p w14:paraId="3AA8AF0E">
      <w:pPr>
        <w:pStyle w:val="40"/>
        <w:adjustRightInd w:val="0"/>
        <w:snapToGrid w:val="0"/>
        <w:spacing w:line="360" w:lineRule="auto"/>
        <w:ind w:firstLine="0" w:firstLineChars="0"/>
        <w:rPr>
          <w:rFonts w:ascii="Times New Roman" w:hAnsi="Times New Roman" w:eastAsia="宋体"/>
          <w:bCs/>
          <w:color w:val="auto"/>
          <w:kern w:val="32"/>
          <w:sz w:val="28"/>
          <w:szCs w:val="28"/>
          <w:highlight w:val="none"/>
        </w:rPr>
      </w:pPr>
      <w:r>
        <w:rPr>
          <w:rFonts w:ascii="Times New Roman" w:hAnsi="Times New Roman" w:eastAsia="宋体"/>
          <w:bCs/>
          <w:color w:val="auto"/>
          <w:kern w:val="32"/>
          <w:sz w:val="28"/>
          <w:szCs w:val="28"/>
          <w:highlight w:val="none"/>
        </w:rPr>
        <w:br w:type="page"/>
      </w:r>
    </w:p>
    <w:p w14:paraId="7450877F">
      <w:pPr>
        <w:tabs>
          <w:tab w:val="right" w:leader="dot" w:pos="8931"/>
        </w:tabs>
        <w:adjustRightInd w:val="0"/>
        <w:snapToGrid w:val="0"/>
        <w:spacing w:before="0" w:after="0" w:line="360" w:lineRule="auto"/>
        <w:jc w:val="center"/>
        <w:outlineLvl w:val="0"/>
        <w:rPr>
          <w:rFonts w:ascii="Times New Roman" w:hAnsi="Times New Roman" w:eastAsia="宋体"/>
          <w:b/>
          <w:bCs/>
          <w:color w:val="auto"/>
          <w:kern w:val="44"/>
          <w:sz w:val="28"/>
          <w:szCs w:val="32"/>
          <w:highlight w:val="none"/>
        </w:rPr>
      </w:pPr>
      <w:bookmarkStart w:id="33" w:name="_Toc233018515"/>
      <w:bookmarkStart w:id="34" w:name="_Toc230621651"/>
      <w:bookmarkStart w:id="35" w:name="_Toc232688064"/>
      <w:bookmarkStart w:id="36" w:name="_Toc150330037"/>
      <w:bookmarkStart w:id="37" w:name="_Toc29978970"/>
      <w:r>
        <w:rPr>
          <w:rFonts w:ascii="Times New Roman" w:hAnsi="Times New Roman" w:eastAsia="宋体"/>
          <w:b/>
          <w:bCs/>
          <w:color w:val="auto"/>
          <w:kern w:val="44"/>
          <w:sz w:val="28"/>
          <w:szCs w:val="32"/>
          <w:highlight w:val="none"/>
        </w:rPr>
        <w:t xml:space="preserve">4  </w:t>
      </w:r>
      <w:r>
        <w:rPr>
          <w:rFonts w:hint="eastAsia" w:ascii="Times New Roman" w:hAnsi="Times New Roman" w:eastAsia="宋体"/>
          <w:b/>
          <w:bCs/>
          <w:color w:val="auto"/>
          <w:kern w:val="44"/>
          <w:sz w:val="28"/>
          <w:szCs w:val="32"/>
          <w:highlight w:val="none"/>
        </w:rPr>
        <w:t>处置设施</w:t>
      </w:r>
      <w:bookmarkEnd w:id="33"/>
      <w:bookmarkEnd w:id="34"/>
      <w:bookmarkEnd w:id="35"/>
    </w:p>
    <w:p w14:paraId="1A40D7CB">
      <w:pPr>
        <w:pStyle w:val="40"/>
        <w:widowControl/>
        <w:shd w:val="clear" w:color="auto" w:fill="FFFFFF"/>
        <w:adjustRightInd w:val="0"/>
        <w:snapToGrid w:val="0"/>
        <w:spacing w:line="360" w:lineRule="auto"/>
        <w:ind w:firstLine="0" w:firstLineChars="0"/>
        <w:rPr>
          <w:rFonts w:ascii="Times New Roman" w:hAnsi="Times New Roman" w:eastAsia="宋体"/>
          <w:bCs/>
          <w:color w:val="auto"/>
          <w:sz w:val="28"/>
          <w:highlight w:val="none"/>
        </w:rPr>
      </w:pPr>
      <w:r>
        <w:rPr>
          <w:rFonts w:hint="eastAsia" w:ascii="Times New Roman" w:hAnsi="Times New Roman" w:eastAsia="宋体"/>
          <w:bCs/>
          <w:color w:val="auto"/>
          <w:sz w:val="28"/>
          <w:szCs w:val="24"/>
          <w:highlight w:val="none"/>
        </w:rPr>
        <w:t>4</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0</w:t>
      </w: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 xml:space="preserve">  </w:t>
      </w:r>
      <w:r>
        <w:rPr>
          <w:rFonts w:ascii="Times New Roman" w:hAnsi="Times New Roman" w:eastAsia="宋体"/>
          <w:color w:val="auto"/>
          <w:sz w:val="28"/>
          <w:szCs w:val="24"/>
          <w:highlight w:val="none"/>
        </w:rPr>
        <w:t>废旧电池处置设施应包含废旧电池处理相关活动的场所及相关设备。</w:t>
      </w:r>
    </w:p>
    <w:p w14:paraId="44A3343A">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4</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0</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 xml:space="preserve">  </w:t>
      </w:r>
      <w:r>
        <w:rPr>
          <w:rFonts w:ascii="Times New Roman" w:hAnsi="Times New Roman" w:eastAsia="宋体"/>
          <w:color w:val="auto"/>
          <w:sz w:val="28"/>
          <w:szCs w:val="24"/>
          <w:highlight w:val="none"/>
        </w:rPr>
        <w:t>废旧电池处置应在建筑物内。</w:t>
      </w:r>
    </w:p>
    <w:p w14:paraId="3432FB9B">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4</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0</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电池处置作业场所地面应采取硬化、防渗漏、防腐蚀技术措施，并应设置废液截流、收集设施。</w:t>
      </w:r>
    </w:p>
    <w:p w14:paraId="22EB40FA">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4</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0</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废旧电池处理场所应具有通风与废气系统、监控系统、应急设施、消防安全设施和废水处理设施。</w:t>
      </w:r>
    </w:p>
    <w:p w14:paraId="1C44E2B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4.0.5  废旧电池处置应具有专业拆解、破碎、分选设备。其中动力电池模组的拆解和分选设备应采取防止引发电池热失控、起火爆炸的措施。</w:t>
      </w:r>
    </w:p>
    <w:p w14:paraId="36287E3A">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 xml:space="preserve">4.0.6  </w:t>
      </w:r>
      <w:r>
        <w:rPr>
          <w:rFonts w:ascii="Times New Roman" w:hAnsi="Times New Roman" w:eastAsia="宋体"/>
          <w:bCs/>
          <w:color w:val="auto"/>
          <w:sz w:val="28"/>
          <w:szCs w:val="24"/>
          <w:highlight w:val="none"/>
        </w:rPr>
        <w:t>电池处置的破碎、分选工序应采用自动进料和封闭式的自动化破碎分选装备，并配套设置废气及粉尘收集装置。</w:t>
      </w:r>
    </w:p>
    <w:p w14:paraId="220CCA26">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 xml:space="preserve">4.0.7  </w:t>
      </w:r>
      <w:r>
        <w:rPr>
          <w:rFonts w:ascii="Times New Roman" w:hAnsi="Times New Roman" w:eastAsia="宋体"/>
          <w:bCs/>
          <w:color w:val="auto"/>
          <w:sz w:val="28"/>
          <w:szCs w:val="24"/>
          <w:highlight w:val="none"/>
        </w:rPr>
        <w:t>电池处置的热解设施应配置废气净化处理装置、故障报警系统和应急处理装置。</w:t>
      </w:r>
    </w:p>
    <w:p w14:paraId="36993CF9">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 xml:space="preserve">4.0.8  </w:t>
      </w:r>
      <w:r>
        <w:rPr>
          <w:rFonts w:ascii="Times New Roman" w:hAnsi="Times New Roman" w:eastAsia="宋体"/>
          <w:bCs/>
          <w:color w:val="auto"/>
          <w:sz w:val="28"/>
          <w:szCs w:val="24"/>
          <w:highlight w:val="none"/>
        </w:rPr>
        <w:t>含汞废电池处理应配套分段控制的真空蒸馏回收装置，在密闭系统中回收汞。</w:t>
      </w:r>
    </w:p>
    <w:p w14:paraId="32601ABC">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 xml:space="preserve">4.0.9  </w:t>
      </w:r>
      <w:r>
        <w:rPr>
          <w:rFonts w:ascii="Times New Roman" w:hAnsi="Times New Roman" w:eastAsia="宋体"/>
          <w:bCs/>
          <w:color w:val="auto"/>
          <w:sz w:val="28"/>
          <w:szCs w:val="24"/>
          <w:highlight w:val="none"/>
        </w:rPr>
        <w:t>废旧电池处理设施在终止或设施退役前，</w:t>
      </w:r>
      <w:r>
        <w:rPr>
          <w:rFonts w:hint="eastAsia" w:ascii="Times New Roman" w:hAnsi="Times New Roman" w:eastAsia="宋体"/>
          <w:bCs/>
          <w:color w:val="auto"/>
          <w:sz w:val="28"/>
          <w:szCs w:val="24"/>
          <w:highlight w:val="none"/>
        </w:rPr>
        <w:t>应</w:t>
      </w:r>
      <w:r>
        <w:rPr>
          <w:rFonts w:ascii="Times New Roman" w:hAnsi="Times New Roman" w:eastAsia="宋体"/>
          <w:bCs/>
          <w:color w:val="auto"/>
          <w:sz w:val="28"/>
          <w:szCs w:val="24"/>
          <w:highlight w:val="none"/>
        </w:rPr>
        <w:t>完成场地环境修复与验收。</w:t>
      </w:r>
    </w:p>
    <w:p w14:paraId="63E53C46">
      <w:pPr>
        <w:widowControl/>
        <w:adjustRightInd w:val="0"/>
        <w:snapToGrid w:val="0"/>
        <w:spacing w:line="360" w:lineRule="auto"/>
        <w:jc w:val="left"/>
        <w:rPr>
          <w:rFonts w:ascii="Times New Roman" w:hAnsi="Times New Roman" w:eastAsia="宋体"/>
          <w:bCs/>
          <w:color w:val="auto"/>
          <w:sz w:val="28"/>
          <w:szCs w:val="24"/>
          <w:highlight w:val="none"/>
        </w:rPr>
      </w:pPr>
      <w:r>
        <w:rPr>
          <w:rFonts w:ascii="Times New Roman" w:hAnsi="Times New Roman" w:eastAsia="宋体"/>
          <w:bCs/>
          <w:color w:val="auto"/>
          <w:sz w:val="28"/>
          <w:szCs w:val="24"/>
          <w:highlight w:val="none"/>
        </w:rPr>
        <w:br w:type="page"/>
      </w:r>
    </w:p>
    <w:p w14:paraId="56F147CC">
      <w:pPr>
        <w:tabs>
          <w:tab w:val="right" w:leader="dot" w:pos="8931"/>
        </w:tabs>
        <w:adjustRightInd w:val="0"/>
        <w:snapToGrid w:val="0"/>
        <w:spacing w:line="360" w:lineRule="auto"/>
        <w:jc w:val="center"/>
        <w:outlineLvl w:val="0"/>
        <w:rPr>
          <w:rFonts w:ascii="Times New Roman" w:hAnsi="Times New Roman" w:eastAsia="宋体"/>
          <w:b/>
          <w:bCs/>
          <w:color w:val="auto"/>
          <w:kern w:val="44"/>
          <w:sz w:val="28"/>
          <w:szCs w:val="32"/>
          <w:highlight w:val="none"/>
        </w:rPr>
      </w:pPr>
      <w:bookmarkStart w:id="38" w:name="_Toc233018516"/>
      <w:bookmarkStart w:id="39" w:name="_Toc232688065"/>
      <w:r>
        <w:rPr>
          <w:rFonts w:hint="eastAsia" w:ascii="Times New Roman" w:hAnsi="Times New Roman" w:eastAsia="宋体"/>
          <w:b/>
          <w:bCs/>
          <w:color w:val="auto"/>
          <w:kern w:val="44"/>
          <w:sz w:val="28"/>
          <w:szCs w:val="32"/>
          <w:highlight w:val="none"/>
        </w:rPr>
        <w:t>5</w:t>
      </w:r>
      <w:r>
        <w:rPr>
          <w:rFonts w:ascii="Times New Roman" w:hAnsi="Times New Roman" w:eastAsia="宋体"/>
          <w:b/>
          <w:bCs/>
          <w:color w:val="auto"/>
          <w:kern w:val="44"/>
          <w:sz w:val="28"/>
          <w:szCs w:val="32"/>
          <w:highlight w:val="none"/>
        </w:rPr>
        <w:t xml:space="preserve">  </w:t>
      </w:r>
      <w:r>
        <w:rPr>
          <w:rFonts w:hint="eastAsia" w:ascii="Times New Roman" w:hAnsi="Times New Roman" w:eastAsia="宋体"/>
          <w:b/>
          <w:bCs/>
          <w:color w:val="auto"/>
          <w:kern w:val="44"/>
          <w:sz w:val="28"/>
          <w:szCs w:val="32"/>
          <w:highlight w:val="none"/>
        </w:rPr>
        <w:t>辅助与配套</w:t>
      </w:r>
      <w:r>
        <w:rPr>
          <w:rFonts w:ascii="Times New Roman" w:hAnsi="Times New Roman" w:eastAsia="宋体"/>
          <w:b/>
          <w:bCs/>
          <w:color w:val="auto"/>
          <w:kern w:val="44"/>
          <w:sz w:val="28"/>
          <w:szCs w:val="32"/>
          <w:highlight w:val="none"/>
        </w:rPr>
        <w:t>设施</w:t>
      </w:r>
      <w:bookmarkEnd w:id="38"/>
      <w:bookmarkEnd w:id="39"/>
    </w:p>
    <w:p w14:paraId="015C52E7">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color w:val="auto"/>
          <w:kern w:val="44"/>
          <w:sz w:val="28"/>
          <w:highlight w:val="none"/>
        </w:rPr>
      </w:pPr>
      <w:bookmarkStart w:id="40" w:name="_Toc233018517"/>
      <w:bookmarkStart w:id="41" w:name="_Toc232688066"/>
      <w:r>
        <w:rPr>
          <w:rFonts w:hint="eastAsia" w:ascii="Times New Roman" w:hAnsi="Times New Roman" w:eastAsia="宋体" w:cs="Times New Roman"/>
          <w:iCs/>
          <w:color w:val="auto"/>
          <w:kern w:val="0"/>
          <w:sz w:val="28"/>
          <w:szCs w:val="28"/>
          <w:highlight w:val="none"/>
        </w:rPr>
        <w:t>5</w:t>
      </w:r>
      <w:r>
        <w:rPr>
          <w:rFonts w:ascii="Times New Roman" w:hAnsi="Times New Roman" w:eastAsia="宋体" w:cs="Times New Roman"/>
          <w:iCs/>
          <w:color w:val="auto"/>
          <w:kern w:val="0"/>
          <w:sz w:val="28"/>
          <w:szCs w:val="28"/>
          <w:highlight w:val="none"/>
        </w:rPr>
        <w:t>.</w:t>
      </w:r>
      <w:r>
        <w:rPr>
          <w:rFonts w:hint="eastAsia" w:ascii="Times New Roman" w:hAnsi="Times New Roman" w:eastAsia="宋体" w:cs="Times New Roman"/>
          <w:iCs/>
          <w:color w:val="auto"/>
          <w:kern w:val="0"/>
          <w:sz w:val="28"/>
          <w:szCs w:val="28"/>
          <w:highlight w:val="none"/>
        </w:rPr>
        <w:t>1</w:t>
      </w:r>
      <w:r>
        <w:rPr>
          <w:rFonts w:ascii="Times New Roman" w:hAnsi="Times New Roman" w:eastAsia="宋体" w:cs="Times New Roman"/>
          <w:iCs/>
          <w:color w:val="auto"/>
          <w:kern w:val="0"/>
          <w:sz w:val="28"/>
          <w:szCs w:val="28"/>
          <w:highlight w:val="none"/>
        </w:rPr>
        <w:t xml:space="preserve">  </w:t>
      </w:r>
      <w:r>
        <w:rPr>
          <w:rFonts w:hint="eastAsia" w:ascii="Times New Roman" w:hAnsi="Times New Roman" w:eastAsia="宋体" w:cs="Times New Roman"/>
          <w:iCs/>
          <w:color w:val="auto"/>
          <w:kern w:val="0"/>
          <w:sz w:val="28"/>
          <w:szCs w:val="28"/>
          <w:highlight w:val="none"/>
        </w:rPr>
        <w:t>辅助设施</w:t>
      </w:r>
      <w:bookmarkEnd w:id="40"/>
      <w:bookmarkEnd w:id="41"/>
    </w:p>
    <w:p w14:paraId="4DE509B6">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5</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存储电池或原辅材料的仓库应根据物料的物理、化学性质和对存储环境的要求分类设置，锂离子电池仓库还应符合下列规定：</w:t>
      </w:r>
    </w:p>
    <w:p w14:paraId="66B261E2">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1 </w:t>
      </w:r>
      <w:r>
        <w:rPr>
          <w:rFonts w:hint="eastAsia" w:ascii="Times New Roman" w:hAnsi="Times New Roman" w:eastAsia="宋体"/>
          <w:color w:val="auto"/>
          <w:sz w:val="28"/>
          <w:szCs w:val="24"/>
          <w:highlight w:val="none"/>
        </w:rPr>
        <w:t xml:space="preserve"> 电池成品、安全性异常的电池应分别独立划分区域存放，且应与其他区域之间设置防火分隔设施；</w:t>
      </w:r>
    </w:p>
    <w:p w14:paraId="64620D71">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2 </w:t>
      </w:r>
      <w:r>
        <w:rPr>
          <w:rFonts w:hint="eastAsia" w:ascii="Times New Roman" w:hAnsi="Times New Roman" w:eastAsia="宋体"/>
          <w:color w:val="auto"/>
          <w:sz w:val="28"/>
          <w:szCs w:val="24"/>
          <w:highlight w:val="none"/>
        </w:rPr>
        <w:t xml:space="preserve"> 库内存放电池的荷电状态应控制在能满足存储安全要求的范围内；</w:t>
      </w:r>
    </w:p>
    <w:p w14:paraId="20AA88EF">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3</w:t>
      </w:r>
      <w:r>
        <w:rPr>
          <w:rFonts w:hint="eastAsia" w:ascii="Times New Roman" w:hAnsi="Times New Roman" w:eastAsia="宋体"/>
          <w:color w:val="auto"/>
          <w:sz w:val="28"/>
          <w:szCs w:val="24"/>
          <w:highlight w:val="none"/>
        </w:rPr>
        <w:t xml:space="preserve">  成品电池仓库应设置火灾自动报警系统、自动喷水灭火系统。</w:t>
      </w:r>
    </w:p>
    <w:p w14:paraId="19C30E56">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输送电解液的管道应采取防泄漏措施，供液主管路上应设置故障安全型紧急切断阀门</w:t>
      </w:r>
      <w:r>
        <w:rPr>
          <w:rFonts w:ascii="Times New Roman" w:hAnsi="Times New Roman" w:eastAsia="宋体"/>
          <w:color w:val="auto"/>
          <w:sz w:val="28"/>
          <w:szCs w:val="24"/>
          <w:highlight w:val="none"/>
        </w:rPr>
        <w:t>。输送易燃易爆电解液的管道还应采取防静电措施</w:t>
      </w:r>
      <w:r>
        <w:rPr>
          <w:rFonts w:hint="eastAsia" w:ascii="Times New Roman" w:hAnsi="Times New Roman" w:eastAsia="宋体"/>
          <w:color w:val="auto"/>
          <w:sz w:val="28"/>
          <w:szCs w:val="24"/>
          <w:highlight w:val="none"/>
        </w:rPr>
        <w:t>。</w:t>
      </w:r>
    </w:p>
    <w:p w14:paraId="50EB6DFD">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废旧电池贮存场地应配备红外热成像监控、烟雾报警等安全防护设施，并应符合下列规定：</w:t>
      </w:r>
    </w:p>
    <w:p w14:paraId="72E75853">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 xml:space="preserve">  </w:t>
      </w:r>
      <w:r>
        <w:rPr>
          <w:rFonts w:ascii="Times New Roman" w:hAnsi="Times New Roman" w:eastAsia="宋体"/>
          <w:color w:val="auto"/>
          <w:sz w:val="28"/>
          <w:szCs w:val="24"/>
          <w:highlight w:val="none"/>
        </w:rPr>
        <w:t>应</w:t>
      </w:r>
      <w:r>
        <w:rPr>
          <w:rFonts w:hint="eastAsia" w:ascii="Times New Roman" w:hAnsi="Times New Roman" w:eastAsia="宋体"/>
          <w:color w:val="auto"/>
          <w:sz w:val="28"/>
          <w:szCs w:val="24"/>
          <w:highlight w:val="none"/>
        </w:rPr>
        <w:t>设置</w:t>
      </w:r>
      <w:r>
        <w:rPr>
          <w:rFonts w:ascii="Times New Roman" w:hAnsi="Times New Roman" w:eastAsia="宋体"/>
          <w:color w:val="auto"/>
          <w:sz w:val="28"/>
          <w:szCs w:val="24"/>
          <w:highlight w:val="none"/>
        </w:rPr>
        <w:t>电池分类贮存</w:t>
      </w:r>
      <w:r>
        <w:rPr>
          <w:rFonts w:hint="eastAsia" w:ascii="Times New Roman" w:hAnsi="Times New Roman" w:eastAsia="宋体"/>
          <w:color w:val="auto"/>
          <w:sz w:val="28"/>
          <w:szCs w:val="24"/>
          <w:highlight w:val="none"/>
        </w:rPr>
        <w:t>设施</w:t>
      </w:r>
      <w:r>
        <w:rPr>
          <w:rFonts w:ascii="Times New Roman" w:hAnsi="Times New Roman" w:eastAsia="宋体"/>
          <w:color w:val="auto"/>
          <w:sz w:val="28"/>
          <w:szCs w:val="24"/>
          <w:highlight w:val="none"/>
        </w:rPr>
        <w:t>；</w:t>
      </w:r>
    </w:p>
    <w:p w14:paraId="30346B0E">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锂一次电池等有爆炸危险的电池应</w:t>
      </w:r>
      <w:r>
        <w:rPr>
          <w:rFonts w:hint="eastAsia" w:ascii="Times New Roman" w:hAnsi="Times New Roman" w:eastAsia="宋体"/>
          <w:color w:val="auto"/>
          <w:sz w:val="28"/>
          <w:szCs w:val="24"/>
          <w:highlight w:val="none"/>
        </w:rPr>
        <w:t>与其他废电池分库储存</w:t>
      </w:r>
      <w:r>
        <w:rPr>
          <w:rFonts w:ascii="Times New Roman" w:hAnsi="Times New Roman" w:eastAsia="宋体"/>
          <w:color w:val="auto"/>
          <w:sz w:val="28"/>
          <w:szCs w:val="24"/>
          <w:highlight w:val="none"/>
        </w:rPr>
        <w:t>；</w:t>
      </w:r>
    </w:p>
    <w:p w14:paraId="64BD0E91">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 xml:space="preserve">3 </w:t>
      </w:r>
      <w:r>
        <w:rPr>
          <w:rFonts w:hint="eastAsia" w:ascii="Times New Roman" w:hAnsi="Times New Roman" w:eastAsia="宋体"/>
          <w:bCs/>
          <w:color w:val="auto"/>
          <w:sz w:val="28"/>
          <w:szCs w:val="24"/>
          <w:highlight w:val="none"/>
        </w:rPr>
        <w:t xml:space="preserve"> </w:t>
      </w:r>
      <w:r>
        <w:rPr>
          <w:rFonts w:ascii="Times New Roman" w:hAnsi="Times New Roman" w:eastAsia="宋体"/>
          <w:color w:val="auto"/>
          <w:sz w:val="28"/>
          <w:szCs w:val="24"/>
          <w:highlight w:val="none"/>
        </w:rPr>
        <w:t>存在漏液风险的电池应单独存放</w:t>
      </w:r>
      <w:r>
        <w:rPr>
          <w:rFonts w:hint="eastAsia" w:ascii="Times New Roman" w:hAnsi="Times New Roman" w:eastAsia="宋体"/>
          <w:color w:val="auto"/>
          <w:sz w:val="28"/>
          <w:szCs w:val="24"/>
          <w:highlight w:val="none"/>
        </w:rPr>
        <w:t>并</w:t>
      </w:r>
      <w:r>
        <w:rPr>
          <w:rFonts w:ascii="Times New Roman" w:hAnsi="Times New Roman" w:eastAsia="宋体"/>
          <w:color w:val="auto"/>
          <w:sz w:val="28"/>
          <w:szCs w:val="24"/>
          <w:highlight w:val="none"/>
        </w:rPr>
        <w:t>采取</w:t>
      </w:r>
      <w:r>
        <w:rPr>
          <w:rFonts w:hint="eastAsia" w:ascii="Times New Roman" w:hAnsi="Times New Roman" w:eastAsia="宋体"/>
          <w:color w:val="auto"/>
          <w:sz w:val="28"/>
          <w:szCs w:val="24"/>
          <w:highlight w:val="none"/>
        </w:rPr>
        <w:t>防止漏液污染环境的</w:t>
      </w:r>
      <w:r>
        <w:rPr>
          <w:rFonts w:ascii="Times New Roman" w:hAnsi="Times New Roman" w:eastAsia="宋体"/>
          <w:color w:val="auto"/>
          <w:sz w:val="28"/>
          <w:szCs w:val="24"/>
          <w:highlight w:val="none"/>
        </w:rPr>
        <w:t>措施</w:t>
      </w:r>
      <w:r>
        <w:rPr>
          <w:rFonts w:hint="eastAsia" w:ascii="Times New Roman" w:hAnsi="Times New Roman" w:eastAsia="宋体"/>
          <w:color w:val="auto"/>
          <w:sz w:val="28"/>
          <w:szCs w:val="24"/>
          <w:highlight w:val="none"/>
        </w:rPr>
        <w:t>。</w:t>
      </w:r>
    </w:p>
    <w:p w14:paraId="146D17FA">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5.1.4  设备安装调试阶段所需的易燃、易爆、有毒、有害危险化学品的临时储存设施，应符合下列规定：</w:t>
      </w:r>
    </w:p>
    <w:p w14:paraId="2EE9DB59">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1  应按危险化学品的属性分类存放；</w:t>
      </w:r>
    </w:p>
    <w:p w14:paraId="34203967">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2  储存区域地面应防渗漏，并应设置围堰或事故收集装置；存放易燃、易爆品的区域地面应进行不发火处理；</w:t>
      </w:r>
    </w:p>
    <w:p w14:paraId="667AF14D">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3  储存区域应保持通风，并应设置事故排风装置；</w:t>
      </w:r>
    </w:p>
    <w:p w14:paraId="1BD7654A">
      <w:pPr>
        <w:pStyle w:val="40"/>
        <w:adjustRightInd w:val="0"/>
        <w:snapToGrid w:val="0"/>
        <w:spacing w:line="360" w:lineRule="auto"/>
        <w:ind w:firstLine="56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4  存放易燃、易爆品的储存区域应设置泄压设施。</w:t>
      </w:r>
    </w:p>
    <w:p w14:paraId="36017B3F">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 xml:space="preserve">5.1.5  </w:t>
      </w:r>
      <w:r>
        <w:rPr>
          <w:rFonts w:ascii="Times New Roman" w:hAnsi="Times New Roman" w:eastAsia="宋体"/>
          <w:color w:val="auto"/>
          <w:sz w:val="28"/>
          <w:szCs w:val="24"/>
          <w:highlight w:val="none"/>
        </w:rPr>
        <w:t>输送易燃、易爆、有毒、有害或腐蚀性介质的管道系统，安装完成后应进行强度和严密性压力试验，合格后方可投入使用。压力试验应符合下列规定：</w:t>
      </w:r>
    </w:p>
    <w:p w14:paraId="71E1F2AE">
      <w:pPr>
        <w:pStyle w:val="40"/>
        <w:adjustRightInd w:val="0"/>
        <w:snapToGrid w:val="0"/>
        <w:spacing w:line="360" w:lineRule="auto"/>
        <w:ind w:firstLine="56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1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 xml:space="preserve">强度试验压力不应低于设计压力的1.15倍，保压时间不应少于30min，无损坏、无泄漏为合格； </w:t>
      </w:r>
    </w:p>
    <w:p w14:paraId="0427F267">
      <w:pPr>
        <w:pStyle w:val="40"/>
        <w:adjustRightInd w:val="0"/>
        <w:snapToGrid w:val="0"/>
        <w:spacing w:line="360" w:lineRule="auto"/>
        <w:ind w:firstLine="56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2</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 xml:space="preserve"> 严密性试验压力不应低于设计压力的1.05倍，保压时间不应少于24h，无压降、无泄漏为合格； </w:t>
      </w:r>
    </w:p>
    <w:p w14:paraId="0B8B1032">
      <w:pPr>
        <w:pStyle w:val="40"/>
        <w:adjustRightInd w:val="0"/>
        <w:snapToGrid w:val="0"/>
        <w:spacing w:line="360" w:lineRule="auto"/>
        <w:ind w:firstLine="560"/>
        <w:rPr>
          <w:rFonts w:ascii="Times New Roman" w:hAnsi="Times New Roman" w:eastAsia="宋体"/>
          <w:color w:val="auto"/>
          <w:sz w:val="28"/>
          <w:szCs w:val="24"/>
          <w:highlight w:val="none"/>
        </w:rPr>
      </w:pPr>
      <w:r>
        <w:rPr>
          <w:rFonts w:ascii="Times New Roman" w:hAnsi="Times New Roman" w:eastAsia="宋体"/>
          <w:color w:val="auto"/>
          <w:sz w:val="28"/>
          <w:szCs w:val="24"/>
          <w:highlight w:val="none"/>
        </w:rPr>
        <w:t xml:space="preserve">3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试验不应在管材脆性转变温度范围内进行。</w:t>
      </w:r>
    </w:p>
    <w:p w14:paraId="45EE739A">
      <w:pPr>
        <w:pStyle w:val="3"/>
        <w:keepNext w:val="0"/>
        <w:keepLines w:val="0"/>
        <w:tabs>
          <w:tab w:val="left" w:pos="1665"/>
          <w:tab w:val="center" w:pos="4153"/>
        </w:tabs>
        <w:adjustRightInd w:val="0"/>
        <w:snapToGrid w:val="0"/>
        <w:spacing w:before="0" w:after="0" w:line="360" w:lineRule="auto"/>
        <w:jc w:val="center"/>
        <w:rPr>
          <w:rFonts w:ascii="Times New Roman" w:hAnsi="Times New Roman" w:eastAsia="宋体"/>
          <w:b/>
          <w:color w:val="auto"/>
          <w:sz w:val="28"/>
          <w:szCs w:val="24"/>
          <w:highlight w:val="none"/>
        </w:rPr>
      </w:pPr>
      <w:bookmarkStart w:id="42" w:name="_Toc230621653"/>
      <w:bookmarkStart w:id="43" w:name="_Toc232688067"/>
      <w:bookmarkStart w:id="44" w:name="_Toc233018518"/>
      <w:r>
        <w:rPr>
          <w:rFonts w:ascii="Times New Roman" w:hAnsi="Times New Roman" w:eastAsia="宋体" w:cs="Times New Roman"/>
          <w:b/>
          <w:bCs/>
          <w:iCs/>
          <w:color w:val="auto"/>
          <w:kern w:val="0"/>
          <w:sz w:val="28"/>
          <w:szCs w:val="28"/>
          <w:highlight w:val="none"/>
        </w:rPr>
        <w:t xml:space="preserve">5.2  </w:t>
      </w:r>
      <w:r>
        <w:rPr>
          <w:rFonts w:hint="eastAsia" w:ascii="Times New Roman" w:hAnsi="Times New Roman" w:eastAsia="宋体" w:cs="Times New Roman"/>
          <w:b/>
          <w:bCs/>
          <w:iCs/>
          <w:color w:val="auto"/>
          <w:kern w:val="0"/>
          <w:sz w:val="28"/>
          <w:szCs w:val="28"/>
          <w:highlight w:val="none"/>
        </w:rPr>
        <w:t>配套设施</w:t>
      </w:r>
      <w:bookmarkEnd w:id="42"/>
      <w:bookmarkEnd w:id="43"/>
      <w:bookmarkEnd w:id="44"/>
    </w:p>
    <w:p w14:paraId="0AD3E635">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color w:val="auto"/>
          <w:sz w:val="28"/>
          <w:szCs w:val="24"/>
          <w:highlight w:val="none"/>
        </w:rPr>
        <w:t>5</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电池生产与处置工程项目应设置满足环保、安全管理要求的固体废物贮存设施，其中危险废物应设置专用的贮存设施，且运行管理应符合现行国家标准《一般工业固体废物贮存和填埋污染控制标准》GB 18599和《危险废物贮存污染控制标准》GB 18597的规定。</w:t>
      </w:r>
    </w:p>
    <w:p w14:paraId="0FA19C1B">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color w:val="auto"/>
          <w:sz w:val="28"/>
          <w:szCs w:val="24"/>
          <w:highlight w:val="none"/>
        </w:rPr>
        <w:t>5</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w:t>
      </w:r>
      <w:r>
        <w:rPr>
          <w:rFonts w:hint="eastAsia" w:ascii="Times New Roman" w:hAnsi="Times New Roman" w:eastAsia="宋体"/>
          <w:color w:val="auto"/>
          <w:sz w:val="28"/>
          <w:szCs w:val="24"/>
          <w:highlight w:val="none"/>
        </w:rPr>
        <w:t>2</w:t>
      </w:r>
      <w:r>
        <w:rPr>
          <w:rFonts w:ascii="Times New Roman" w:hAnsi="Times New Roman" w:eastAsia="宋体"/>
          <w:color w:val="auto"/>
          <w:sz w:val="28"/>
          <w:szCs w:val="24"/>
          <w:highlight w:val="none"/>
        </w:rPr>
        <w:t xml:space="preserve">  电池生产与处置工艺产生的含汞、银、铅、镉、镍、钴、</w:t>
      </w:r>
      <w:r>
        <w:rPr>
          <w:rFonts w:hint="eastAsia" w:ascii="Times New Roman" w:hAnsi="Times New Roman" w:eastAsia="宋体"/>
          <w:color w:val="auto"/>
          <w:sz w:val="28"/>
          <w:szCs w:val="24"/>
          <w:highlight w:val="none"/>
        </w:rPr>
        <w:t>氟污染物的生产清洗废水应单独收集处理。</w:t>
      </w:r>
    </w:p>
    <w:p w14:paraId="6B09ABBE">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铅蓄电池生产保障系统应符合下列规定：</w:t>
      </w:r>
    </w:p>
    <w:p w14:paraId="6D0E8232">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熔铅、包板、称板、装配焊接工序，应配备含铅烟尘收集装置，保持合适的吸气压力，并与废气处理设施连接；</w:t>
      </w:r>
    </w:p>
    <w:p w14:paraId="60A5A0D6">
      <w:pPr>
        <w:pStyle w:val="40"/>
        <w:adjustRightInd w:val="0"/>
        <w:snapToGrid w:val="0"/>
        <w:spacing w:line="360" w:lineRule="auto"/>
        <w:ind w:firstLine="660" w:firstLineChars="236"/>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淋酸、洗板、浸渍、灌酸、电池清洗工序应配备废液收集系统。</w:t>
      </w:r>
    </w:p>
    <w:p w14:paraId="4D182881">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当锂离子电池采用闭口化成工艺时，化成工艺区内应设置全室排风和事故排风系统；当采用开口化成工艺时，每个电池应设置独立的抽真空排气装置，化成工艺区内应设置事故排风系统。</w:t>
      </w:r>
    </w:p>
    <w:p w14:paraId="32D6B2E2">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5</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锂离子电池工厂的电解液暂存间和注液间以及薄膜太阳能电池工厂化学气相沉积设备尾气处理设备间应设置事故排风系统。</w:t>
      </w:r>
    </w:p>
    <w:p w14:paraId="71994FA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当电解液的火灾危险性为甲、乙类时，在注液</w:t>
      </w:r>
      <w:r>
        <w:rPr>
          <w:rFonts w:hint="eastAsia" w:ascii="Times New Roman" w:hAnsi="Times New Roman" w:eastAsia="宋体"/>
          <w:color w:val="auto"/>
          <w:sz w:val="28"/>
          <w:szCs w:val="24"/>
          <w:highlight w:val="none"/>
        </w:rPr>
        <w:t>机</w:t>
      </w:r>
      <w:r>
        <w:rPr>
          <w:rFonts w:ascii="Times New Roman" w:hAnsi="Times New Roman" w:eastAsia="宋体"/>
          <w:color w:val="auto"/>
          <w:sz w:val="28"/>
          <w:szCs w:val="24"/>
          <w:highlight w:val="none"/>
        </w:rPr>
        <w:t>内应设置液体泄漏报警装置，并应通过泄漏报警信号</w:t>
      </w:r>
      <w:r>
        <w:rPr>
          <w:rFonts w:hint="eastAsia" w:ascii="Times New Roman" w:hAnsi="Times New Roman" w:eastAsia="宋体"/>
          <w:color w:val="auto"/>
          <w:sz w:val="28"/>
          <w:szCs w:val="24"/>
          <w:highlight w:val="none"/>
        </w:rPr>
        <w:t>联</w:t>
      </w:r>
      <w:r>
        <w:rPr>
          <w:rFonts w:ascii="Times New Roman" w:hAnsi="Times New Roman" w:eastAsia="宋体"/>
          <w:color w:val="auto"/>
          <w:sz w:val="28"/>
          <w:szCs w:val="24"/>
          <w:highlight w:val="none"/>
        </w:rPr>
        <w:t>动事故排风机、切断电解液输送阀门和关停输送泵。</w:t>
      </w:r>
    </w:p>
    <w:p w14:paraId="2191CBC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7</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N-</w:t>
      </w:r>
      <w:r>
        <w:rPr>
          <w:rFonts w:ascii="Times New Roman" w:hAnsi="Times New Roman" w:eastAsia="宋体"/>
          <w:color w:val="auto"/>
          <w:sz w:val="28"/>
          <w:szCs w:val="24"/>
          <w:highlight w:val="none"/>
        </w:rPr>
        <w:t>甲基吡咯烷酮（NMP）的排风系统应</w:t>
      </w:r>
      <w:r>
        <w:rPr>
          <w:rFonts w:hint="eastAsia" w:ascii="Times New Roman" w:hAnsi="Times New Roman" w:eastAsia="宋体"/>
          <w:color w:val="auto"/>
          <w:sz w:val="28"/>
          <w:szCs w:val="24"/>
          <w:highlight w:val="none"/>
        </w:rPr>
        <w:t>采取</w:t>
      </w:r>
      <w:r>
        <w:rPr>
          <w:rFonts w:ascii="Times New Roman" w:hAnsi="Times New Roman" w:eastAsia="宋体"/>
          <w:color w:val="auto"/>
          <w:sz w:val="28"/>
          <w:szCs w:val="24"/>
          <w:highlight w:val="none"/>
        </w:rPr>
        <w:t>防爆</w:t>
      </w:r>
      <w:r>
        <w:rPr>
          <w:rFonts w:hint="eastAsia" w:ascii="Times New Roman" w:hAnsi="Times New Roman" w:eastAsia="宋体"/>
          <w:color w:val="auto"/>
          <w:sz w:val="28"/>
          <w:szCs w:val="24"/>
          <w:highlight w:val="none"/>
        </w:rPr>
        <w:t>措施</w:t>
      </w:r>
      <w:r>
        <w:rPr>
          <w:rFonts w:ascii="Times New Roman" w:hAnsi="Times New Roman" w:eastAsia="宋体"/>
          <w:color w:val="auto"/>
          <w:sz w:val="28"/>
          <w:szCs w:val="24"/>
          <w:highlight w:val="none"/>
        </w:rPr>
        <w:t>。</w:t>
      </w:r>
    </w:p>
    <w:p w14:paraId="714372EC">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8</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薄膜太阳能电池工厂化学气相沉积设备区域及对应吊顶空间内应设置换气次数不低于</w:t>
      </w:r>
      <w:r>
        <w:rPr>
          <w:rFonts w:ascii="Times New Roman" w:hAnsi="Times New Roman" w:eastAsia="宋体"/>
          <w:color w:val="auto"/>
          <w:sz w:val="28"/>
          <w:szCs w:val="24"/>
          <w:highlight w:val="none"/>
        </w:rPr>
        <w:t>2次/h的排风系统。</w:t>
      </w:r>
    </w:p>
    <w:p w14:paraId="439CBB93">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9</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电池破坏性测试间应设置事故排风系统</w:t>
      </w:r>
      <w:r>
        <w:rPr>
          <w:rFonts w:ascii="Times New Roman" w:hAnsi="Times New Roman" w:eastAsia="宋体"/>
          <w:color w:val="auto"/>
          <w:sz w:val="28"/>
          <w:szCs w:val="24"/>
          <w:highlight w:val="none"/>
        </w:rPr>
        <w:t>。</w:t>
      </w:r>
    </w:p>
    <w:p w14:paraId="6ED4C95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10</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金属锂等可与水发生剧烈反应物质的存储场所不应有含水管道穿过</w:t>
      </w:r>
      <w:r>
        <w:rPr>
          <w:rFonts w:ascii="Times New Roman" w:hAnsi="Times New Roman" w:eastAsia="宋体"/>
          <w:color w:val="auto"/>
          <w:sz w:val="28"/>
          <w:szCs w:val="24"/>
          <w:highlight w:val="none"/>
        </w:rPr>
        <w:t>。</w:t>
      </w:r>
    </w:p>
    <w:p w14:paraId="743D3817">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1</w:t>
      </w:r>
      <w:r>
        <w:rPr>
          <w:rFonts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4"/>
          <w:highlight w:val="none"/>
        </w:rPr>
        <w:t>除满足下列条件之一的区域外，锂离子电池生产车间应采取烟气控制措施：</w:t>
      </w:r>
    </w:p>
    <w:p w14:paraId="6B9DC5C3">
      <w:pPr>
        <w:pStyle w:val="40"/>
        <w:adjustRightInd w:val="0"/>
        <w:snapToGrid w:val="0"/>
        <w:spacing w:line="360" w:lineRule="auto"/>
        <w:ind w:firstLine="560"/>
        <w:rPr>
          <w:rFonts w:ascii="Times New Roman" w:hAnsi="Times New Roman" w:eastAsia="宋体"/>
          <w:bCs/>
          <w:color w:val="auto"/>
          <w:sz w:val="28"/>
          <w:szCs w:val="24"/>
          <w:highlight w:val="none"/>
        </w:rPr>
      </w:pPr>
      <w:r>
        <w:rPr>
          <w:rFonts w:ascii="Times New Roman" w:hAnsi="Times New Roman" w:eastAsia="宋体"/>
          <w:bCs/>
          <w:color w:val="auto"/>
          <w:sz w:val="28"/>
          <w:szCs w:val="24"/>
          <w:highlight w:val="none"/>
        </w:rPr>
        <w:t xml:space="preserve">1 </w:t>
      </w:r>
      <w:r>
        <w:rPr>
          <w:rFonts w:hint="eastAsia" w:ascii="Times New Roman" w:hAnsi="Times New Roman" w:eastAsia="宋体"/>
          <w:bCs/>
          <w:color w:val="auto"/>
          <w:sz w:val="28"/>
          <w:szCs w:val="24"/>
          <w:highlight w:val="none"/>
        </w:rPr>
        <w:t xml:space="preserve"> </w:t>
      </w:r>
      <w:r>
        <w:rPr>
          <w:rFonts w:ascii="Times New Roman" w:hAnsi="Times New Roman" w:eastAsia="宋体"/>
          <w:bCs/>
          <w:color w:val="auto"/>
          <w:sz w:val="28"/>
          <w:szCs w:val="24"/>
          <w:highlight w:val="none"/>
        </w:rPr>
        <w:t>环境控制相对湿度</w:t>
      </w:r>
      <w:r>
        <w:rPr>
          <w:rFonts w:hint="eastAsia" w:ascii="Times New Roman" w:hAnsi="Times New Roman" w:eastAsia="宋体"/>
          <w:bCs/>
          <w:color w:val="auto"/>
          <w:sz w:val="28"/>
          <w:szCs w:val="24"/>
          <w:highlight w:val="none"/>
        </w:rPr>
        <w:t>不大于</w:t>
      </w:r>
      <w:r>
        <w:rPr>
          <w:rFonts w:ascii="Times New Roman" w:hAnsi="Times New Roman" w:eastAsia="宋体"/>
          <w:bCs/>
          <w:color w:val="auto"/>
          <w:sz w:val="28"/>
          <w:szCs w:val="24"/>
          <w:highlight w:val="none"/>
        </w:rPr>
        <w:t>5%的区域；</w:t>
      </w:r>
    </w:p>
    <w:p w14:paraId="1EB8A9FA">
      <w:pPr>
        <w:pStyle w:val="40"/>
        <w:adjustRightInd w:val="0"/>
        <w:snapToGrid w:val="0"/>
        <w:spacing w:line="360" w:lineRule="auto"/>
        <w:ind w:firstLine="560"/>
        <w:rPr>
          <w:rFonts w:ascii="Times New Roman" w:hAnsi="Times New Roman" w:eastAsia="宋体"/>
          <w:bCs/>
          <w:color w:val="auto"/>
          <w:sz w:val="28"/>
          <w:szCs w:val="24"/>
          <w:highlight w:val="none"/>
        </w:rPr>
      </w:pPr>
      <w:r>
        <w:rPr>
          <w:rFonts w:ascii="Times New Roman" w:hAnsi="Times New Roman" w:eastAsia="宋体"/>
          <w:bCs/>
          <w:color w:val="auto"/>
          <w:sz w:val="28"/>
          <w:szCs w:val="24"/>
          <w:highlight w:val="none"/>
        </w:rPr>
        <w:t>2</w:t>
      </w:r>
      <w:r>
        <w:rPr>
          <w:rFonts w:hint="eastAsia" w:ascii="Times New Roman" w:hAnsi="Times New Roman" w:eastAsia="宋体"/>
          <w:bCs/>
          <w:color w:val="auto"/>
          <w:sz w:val="28"/>
          <w:szCs w:val="24"/>
          <w:highlight w:val="none"/>
        </w:rPr>
        <w:t xml:space="preserve">  生产</w:t>
      </w:r>
      <w:r>
        <w:rPr>
          <w:rFonts w:ascii="Times New Roman" w:hAnsi="Times New Roman" w:eastAsia="宋体"/>
          <w:bCs/>
          <w:color w:val="auto"/>
          <w:sz w:val="28"/>
          <w:szCs w:val="24"/>
          <w:highlight w:val="none"/>
        </w:rPr>
        <w:t>人员密度</w:t>
      </w:r>
      <w:r>
        <w:rPr>
          <w:rFonts w:hint="eastAsia" w:ascii="Times New Roman" w:hAnsi="Times New Roman" w:eastAsia="宋体"/>
          <w:bCs/>
          <w:color w:val="auto"/>
          <w:sz w:val="28"/>
          <w:szCs w:val="24"/>
          <w:highlight w:val="none"/>
        </w:rPr>
        <w:t>不大于</w:t>
      </w:r>
      <w:r>
        <w:rPr>
          <w:rFonts w:ascii="Times New Roman" w:hAnsi="Times New Roman" w:eastAsia="宋体"/>
          <w:bCs/>
          <w:color w:val="auto"/>
          <w:sz w:val="28"/>
          <w:szCs w:val="24"/>
          <w:highlight w:val="none"/>
        </w:rPr>
        <w:t>0.02人/㎡</w:t>
      </w:r>
      <w:r>
        <w:rPr>
          <w:rFonts w:hint="eastAsia" w:ascii="Times New Roman" w:hAnsi="Times New Roman" w:eastAsia="宋体"/>
          <w:bCs/>
          <w:color w:val="auto"/>
          <w:sz w:val="28"/>
          <w:szCs w:val="24"/>
          <w:highlight w:val="none"/>
        </w:rPr>
        <w:t>且</w:t>
      </w:r>
      <w:r>
        <w:rPr>
          <w:rFonts w:ascii="Times New Roman" w:hAnsi="Times New Roman" w:eastAsia="宋体"/>
          <w:bCs/>
          <w:color w:val="auto"/>
          <w:sz w:val="28"/>
          <w:szCs w:val="24"/>
          <w:highlight w:val="none"/>
        </w:rPr>
        <w:t>回风气流中设有灵敏度严于0.01%obs/m的早期火灾报警探测系统的区域。</w:t>
      </w:r>
    </w:p>
    <w:p w14:paraId="2D5D9119">
      <w:pPr>
        <w:pStyle w:val="40"/>
        <w:adjustRightInd w:val="0"/>
        <w:snapToGrid w:val="0"/>
        <w:spacing w:line="360" w:lineRule="auto"/>
        <w:ind w:firstLine="0" w:firstLineChars="0"/>
        <w:rPr>
          <w:rFonts w:ascii="Times New Roman" w:hAnsi="Times New Roman" w:eastAsia="宋体"/>
          <w:bCs/>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 xml:space="preserve">  </w:t>
      </w:r>
      <w:r>
        <w:rPr>
          <w:rFonts w:hint="eastAsia" w:ascii="Times New Roman" w:hAnsi="Times New Roman" w:eastAsia="宋体"/>
          <w:bCs/>
          <w:color w:val="auto"/>
          <w:sz w:val="28"/>
          <w:szCs w:val="24"/>
          <w:highlight w:val="none"/>
        </w:rPr>
        <w:t>含有爆炸危险粉尘的除尘系统应采取防爆措施。</w:t>
      </w:r>
    </w:p>
    <w:p w14:paraId="401562F8">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废旧电池处置过程中产生酸雾、粉尘等废气的场所应设置机械排风系统。</w:t>
      </w:r>
    </w:p>
    <w:p w14:paraId="449CB159">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14</w:t>
      </w:r>
      <w:r>
        <w:rPr>
          <w:rFonts w:ascii="Times New Roman" w:hAnsi="Times New Roman" w:eastAsia="宋体"/>
          <w:color w:val="auto"/>
          <w:sz w:val="28"/>
          <w:szCs w:val="24"/>
          <w:highlight w:val="none"/>
        </w:rPr>
        <w:t xml:space="preserve">  铅电池处置</w:t>
      </w:r>
      <w:r>
        <w:rPr>
          <w:rFonts w:hint="eastAsia" w:ascii="Times New Roman" w:hAnsi="Times New Roman" w:eastAsia="宋体"/>
          <w:color w:val="auto"/>
          <w:sz w:val="28"/>
          <w:szCs w:val="24"/>
          <w:highlight w:val="none"/>
        </w:rPr>
        <w:t>场所</w:t>
      </w:r>
      <w:r>
        <w:rPr>
          <w:rFonts w:ascii="Times New Roman" w:hAnsi="Times New Roman" w:eastAsia="宋体"/>
          <w:color w:val="auto"/>
          <w:sz w:val="28"/>
          <w:szCs w:val="24"/>
          <w:highlight w:val="none"/>
        </w:rPr>
        <w:t>应设置废酸液回收装置。</w:t>
      </w:r>
    </w:p>
    <w:p w14:paraId="7214C20B">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15</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电池处置工程项目的废水收集、输送系统应与雨水及生活污水分流，铅蓄电池处置工程项目的排水系统还应符合下列规定：</w:t>
      </w:r>
    </w:p>
    <w:p w14:paraId="2165176F">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 xml:space="preserve">1 </w:t>
      </w:r>
      <w:r>
        <w:rPr>
          <w:rFonts w:hint="eastAsia" w:ascii="Times New Roman" w:hAnsi="Times New Roman" w:eastAsia="宋体"/>
          <w:bCs/>
          <w:color w:val="auto"/>
          <w:sz w:val="28"/>
          <w:szCs w:val="24"/>
          <w:highlight w:val="none"/>
        </w:rPr>
        <w:t xml:space="preserve"> </w:t>
      </w:r>
      <w:r>
        <w:rPr>
          <w:rFonts w:hint="eastAsia" w:ascii="Times New Roman" w:hAnsi="Times New Roman" w:eastAsia="宋体"/>
          <w:color w:val="auto"/>
          <w:sz w:val="28"/>
          <w:szCs w:val="24"/>
          <w:highlight w:val="none"/>
        </w:rPr>
        <w:t>生产区内的初期雨水应单独收集并处理；</w:t>
      </w:r>
    </w:p>
    <w:p w14:paraId="3E40C57B">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 xml:space="preserve">2 </w:t>
      </w:r>
      <w:r>
        <w:rPr>
          <w:rFonts w:hint="eastAsia" w:ascii="Times New Roman" w:hAnsi="Times New Roman" w:eastAsia="宋体"/>
          <w:bCs/>
          <w:color w:val="auto"/>
          <w:sz w:val="28"/>
          <w:szCs w:val="24"/>
          <w:highlight w:val="none"/>
        </w:rPr>
        <w:t xml:space="preserve"> </w:t>
      </w:r>
      <w:r>
        <w:rPr>
          <w:rFonts w:hint="eastAsia" w:ascii="Times New Roman" w:hAnsi="Times New Roman" w:eastAsia="宋体"/>
          <w:color w:val="auto"/>
          <w:sz w:val="28"/>
          <w:szCs w:val="24"/>
          <w:highlight w:val="none"/>
        </w:rPr>
        <w:t>生产区地面冲洗水、厂区内洗衣废水和淋浴水应按含铅废水处理。</w:t>
      </w:r>
    </w:p>
    <w:p w14:paraId="027AC9E5">
      <w:pPr>
        <w:pStyle w:val="40"/>
        <w:adjustRightInd w:val="0"/>
        <w:snapToGrid w:val="0"/>
        <w:spacing w:line="360" w:lineRule="auto"/>
        <w:ind w:firstLine="0" w:firstLineChars="0"/>
        <w:rPr>
          <w:rFonts w:ascii="Times New Roman" w:hAnsi="Times New Roman" w:eastAsia="宋体"/>
          <w:color w:val="auto"/>
          <w:sz w:val="28"/>
          <w:szCs w:val="24"/>
          <w:highlight w:val="none"/>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6</w:t>
      </w:r>
      <w:r>
        <w:rPr>
          <w:rFonts w:ascii="Times New Roman" w:hAnsi="Times New Roman" w:eastAsia="宋体"/>
          <w:color w:val="auto"/>
          <w:sz w:val="28"/>
          <w:szCs w:val="24"/>
          <w:highlight w:val="none"/>
        </w:rPr>
        <w:t xml:space="preserve">  待处置铅蓄电池的储存设施应符合以下规定：</w:t>
      </w:r>
    </w:p>
    <w:p w14:paraId="3B9FFDC1">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1</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应采取防止雨淋和水浸的措施；</w:t>
      </w:r>
    </w:p>
    <w:p w14:paraId="03D6AB5D">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2</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储存区域地面应采取防渗漏、防腐蚀以及废液截流、收集技术措施；</w:t>
      </w:r>
    </w:p>
    <w:p w14:paraId="5D78B586">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3</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出入口应保持常闭状态；</w:t>
      </w:r>
    </w:p>
    <w:p w14:paraId="7AD8ABFE">
      <w:pPr>
        <w:pStyle w:val="40"/>
        <w:adjustRightInd w:val="0"/>
        <w:snapToGrid w:val="0"/>
        <w:spacing w:line="360" w:lineRule="auto"/>
        <w:ind w:firstLine="495" w:firstLineChars="177"/>
        <w:rPr>
          <w:rFonts w:ascii="Times New Roman" w:hAnsi="Times New Roman" w:eastAsia="宋体"/>
          <w:color w:val="auto"/>
          <w:sz w:val="28"/>
          <w:szCs w:val="24"/>
          <w:highlight w:val="none"/>
        </w:rPr>
      </w:pPr>
      <w:r>
        <w:rPr>
          <w:rFonts w:ascii="Times New Roman" w:hAnsi="Times New Roman" w:eastAsia="宋体"/>
          <w:bCs/>
          <w:color w:val="auto"/>
          <w:sz w:val="28"/>
          <w:szCs w:val="24"/>
          <w:highlight w:val="none"/>
        </w:rPr>
        <w:t>4</w:t>
      </w:r>
      <w:r>
        <w:rPr>
          <w:rFonts w:ascii="Times New Roman" w:hAnsi="Times New Roman" w:eastAsia="宋体"/>
          <w:color w:val="auto"/>
          <w:sz w:val="28"/>
          <w:szCs w:val="24"/>
          <w:highlight w:val="none"/>
        </w:rPr>
        <w:t xml:space="preserve"> </w:t>
      </w:r>
      <w:r>
        <w:rPr>
          <w:rFonts w:hint="eastAsia" w:ascii="Times New Roman" w:hAnsi="Times New Roman" w:eastAsia="宋体"/>
          <w:color w:val="auto"/>
          <w:sz w:val="28"/>
          <w:szCs w:val="24"/>
          <w:highlight w:val="none"/>
        </w:rPr>
        <w:t xml:space="preserve"> </w:t>
      </w:r>
      <w:r>
        <w:rPr>
          <w:rFonts w:ascii="Times New Roman" w:hAnsi="Times New Roman" w:eastAsia="宋体"/>
          <w:color w:val="auto"/>
          <w:sz w:val="28"/>
          <w:szCs w:val="24"/>
          <w:highlight w:val="none"/>
        </w:rPr>
        <w:t>应设有排风系统及铅尘处理装置</w:t>
      </w:r>
      <w:r>
        <w:rPr>
          <w:rFonts w:hint="eastAsia" w:ascii="Times New Roman" w:hAnsi="Times New Roman" w:eastAsia="宋体"/>
          <w:color w:val="auto"/>
          <w:sz w:val="28"/>
          <w:szCs w:val="24"/>
          <w:highlight w:val="none"/>
        </w:rPr>
        <w:t>。</w:t>
      </w:r>
    </w:p>
    <w:p w14:paraId="654B3911">
      <w:pPr>
        <w:pStyle w:val="40"/>
        <w:adjustRightInd w:val="0"/>
        <w:snapToGrid w:val="0"/>
        <w:spacing w:line="360" w:lineRule="auto"/>
        <w:ind w:firstLine="0" w:firstLineChars="0"/>
        <w:rPr>
          <w:rFonts w:ascii="Times New Roman" w:hAnsi="Times New Roman" w:eastAsia="宋体"/>
          <w:bCs/>
          <w:color w:val="auto"/>
          <w:sz w:val="28"/>
          <w:highlight w:val="none"/>
          <w:lang w:val="zh-CN"/>
        </w:rPr>
      </w:pPr>
      <w:r>
        <w:rPr>
          <w:rFonts w:hint="eastAsia" w:ascii="Times New Roman" w:hAnsi="Times New Roman" w:eastAsia="宋体"/>
          <w:bCs/>
          <w:color w:val="auto"/>
          <w:sz w:val="28"/>
          <w:szCs w:val="24"/>
          <w:highlight w:val="none"/>
        </w:rPr>
        <w:t>5</w:t>
      </w:r>
      <w:r>
        <w:rPr>
          <w:rFonts w:ascii="Times New Roman" w:hAnsi="Times New Roman" w:eastAsia="宋体"/>
          <w:bCs/>
          <w:color w:val="auto"/>
          <w:sz w:val="28"/>
          <w:szCs w:val="24"/>
          <w:highlight w:val="none"/>
        </w:rPr>
        <w:t>.</w:t>
      </w:r>
      <w:r>
        <w:rPr>
          <w:rFonts w:hint="eastAsia" w:ascii="Times New Roman" w:hAnsi="Times New Roman" w:eastAsia="宋体"/>
          <w:bCs/>
          <w:color w:val="auto"/>
          <w:sz w:val="28"/>
          <w:szCs w:val="24"/>
          <w:highlight w:val="none"/>
        </w:rPr>
        <w:t>2</w:t>
      </w:r>
      <w:r>
        <w:rPr>
          <w:rFonts w:ascii="Times New Roman" w:hAnsi="Times New Roman" w:eastAsia="宋体"/>
          <w:bCs/>
          <w:color w:val="auto"/>
          <w:sz w:val="28"/>
          <w:szCs w:val="24"/>
          <w:highlight w:val="none"/>
        </w:rPr>
        <w:t>.1</w:t>
      </w:r>
      <w:r>
        <w:rPr>
          <w:rFonts w:hint="eastAsia" w:ascii="Times New Roman" w:hAnsi="Times New Roman" w:eastAsia="宋体"/>
          <w:bCs/>
          <w:color w:val="auto"/>
          <w:sz w:val="28"/>
          <w:szCs w:val="24"/>
          <w:highlight w:val="none"/>
        </w:rPr>
        <w:t>7</w:t>
      </w:r>
      <w:r>
        <w:rPr>
          <w:rFonts w:ascii="Times New Roman" w:hAnsi="Times New Roman" w:eastAsia="宋体"/>
          <w:color w:val="auto"/>
          <w:sz w:val="28"/>
          <w:szCs w:val="24"/>
          <w:highlight w:val="none"/>
        </w:rPr>
        <w:t xml:space="preserve">  含危险废物的待处置电池储存场地应配备通讯设备、照明设施、安全防护服装及工具，并设有应急防护设施。</w:t>
      </w:r>
    </w:p>
    <w:bookmarkEnd w:id="36"/>
    <w:bookmarkEnd w:id="37"/>
    <w:p w14:paraId="11D91C84">
      <w:pPr>
        <w:pStyle w:val="40"/>
        <w:adjustRightInd w:val="0"/>
        <w:snapToGrid w:val="0"/>
        <w:spacing w:line="360" w:lineRule="auto"/>
        <w:ind w:firstLine="0" w:firstLineChars="0"/>
        <w:rPr>
          <w:rFonts w:ascii="Times New Roman" w:hAnsi="Times New Roman" w:eastAsia="宋体"/>
          <w:bCs/>
          <w:color w:val="auto"/>
          <w:sz w:val="28"/>
          <w:highlight w:val="none"/>
          <w:lang w:val="zh-CN"/>
        </w:rPr>
      </w:pPr>
    </w:p>
    <w:p w14:paraId="5127B78A">
      <w:pPr>
        <w:widowControl/>
        <w:jc w:val="left"/>
        <w:rPr>
          <w:rFonts w:ascii="Times New Roman" w:hAnsi="Times New Roman"/>
          <w:b/>
          <w:bCs/>
          <w:color w:val="auto"/>
          <w:kern w:val="44"/>
          <w:sz w:val="44"/>
          <w:szCs w:val="44"/>
          <w:highlight w:val="none"/>
          <w:lang w:val="zh-CN"/>
        </w:rPr>
      </w:pPr>
    </w:p>
    <w:p w14:paraId="7BB8FCD3">
      <w:pPr>
        <w:widowControl/>
        <w:jc w:val="left"/>
        <w:rPr>
          <w:rFonts w:ascii="Times New Roman" w:hAnsi="Times New Roman"/>
          <w:b/>
          <w:bCs/>
          <w:color w:val="auto"/>
          <w:kern w:val="44"/>
          <w:sz w:val="44"/>
          <w:szCs w:val="44"/>
          <w:highlight w:val="none"/>
          <w:lang w:val="zh-CN"/>
        </w:rPr>
      </w:pPr>
    </w:p>
    <w:p w14:paraId="02C826BD">
      <w:pPr>
        <w:widowControl/>
        <w:jc w:val="center"/>
        <w:rPr>
          <w:rFonts w:ascii="Times New Roman" w:hAnsi="Times New Roman"/>
          <w:b/>
          <w:bCs/>
          <w:color w:val="auto"/>
          <w:kern w:val="44"/>
          <w:sz w:val="44"/>
          <w:szCs w:val="44"/>
          <w:highlight w:val="none"/>
          <w:lang w:val="zh-CN"/>
        </w:rPr>
      </w:pPr>
    </w:p>
    <w:p w14:paraId="3F7B23CF">
      <w:pPr>
        <w:adjustRightInd w:val="0"/>
        <w:snapToGrid w:val="0"/>
        <w:spacing w:line="360" w:lineRule="auto"/>
        <w:rPr>
          <w:rFonts w:ascii="Times New Roman" w:hAnsi="Times New Roman" w:eastAsia="宋体"/>
          <w:color w:val="auto"/>
          <w:kern w:val="0"/>
          <w:sz w:val="28"/>
          <w:szCs w:val="28"/>
          <w:highlight w:val="none"/>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7283032"/>
    </w:sdtPr>
    <w:sdtContent>
      <w:p w14:paraId="03217AFB">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677A92E">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F1C0F">
    <w:pPr>
      <w:pStyle w:val="11"/>
      <w:jc w:val="center"/>
      <w:rPr>
        <w:rFonts w:hint="eastAsia"/>
      </w:rPr>
    </w:pPr>
    <w:r>
      <w:fldChar w:fldCharType="begin"/>
    </w:r>
    <w:r>
      <w:instrText xml:space="preserve">PAGE   \* MERGEFORMAT</w:instrText>
    </w:r>
    <w:r>
      <w:fldChar w:fldCharType="separate"/>
    </w:r>
    <w:r>
      <w:rPr>
        <w:lang w:val="zh-CN"/>
      </w:rPr>
      <w:t>4</w:t>
    </w:r>
    <w:r>
      <w:fldChar w:fldCharType="end"/>
    </w:r>
  </w:p>
  <w:p w14:paraId="7D442AD6">
    <w:pPr>
      <w:pStyle w:val="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16BF">
    <w:pPr>
      <w:pStyle w:val="11"/>
      <w:jc w:val="center"/>
      <w:rPr>
        <w:rFonts w:hint="eastAsia"/>
      </w:rPr>
    </w:pPr>
    <w:r>
      <w:rPr>
        <w:lang w:val="zh-CN"/>
      </w:rPr>
      <w:fldChar w:fldCharType="begin"/>
    </w:r>
    <w:r>
      <w:rPr>
        <w:lang w:val="zh-CN"/>
      </w:rPr>
      <w:instrText xml:space="preserve">PAGE   \* MERGEFORMAT</w:instrText>
    </w:r>
    <w:r>
      <w:rPr>
        <w:lang w:val="zh-CN"/>
      </w:rPr>
      <w:fldChar w:fldCharType="separate"/>
    </w:r>
    <w:r>
      <w:rPr>
        <w:lang w:val="zh-CN"/>
      </w:rPr>
      <w:t>10</w:t>
    </w:r>
    <w:r>
      <w:rPr>
        <w:lang w:val="zh-CN"/>
      </w:rPr>
      <w:fldChar w:fldCharType="end"/>
    </w:r>
  </w:p>
  <w:p w14:paraId="090880BF">
    <w:pPr>
      <w:pStyle w:val="11"/>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492A6">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53029"/>
    <w:multiLevelType w:val="multilevel"/>
    <w:tmpl w:val="1A253029"/>
    <w:lvl w:ilvl="0" w:tentative="0">
      <w:start w:val="1"/>
      <w:numFmt w:val="decimal"/>
      <w:lvlText w:val="%1"/>
      <w:lvlJc w:val="left"/>
      <w:pPr>
        <w:ind w:left="840" w:hanging="840"/>
      </w:pPr>
      <w:rPr>
        <w:rFonts w:hint="default"/>
      </w:rPr>
    </w:lvl>
    <w:lvl w:ilvl="1" w:tentative="0">
      <w:start w:val="0"/>
      <w:numFmt w:val="decimal"/>
      <w:lvlText w:val="%1.%2"/>
      <w:lvlJc w:val="left"/>
      <w:pPr>
        <w:ind w:left="840" w:hanging="840"/>
      </w:pPr>
      <w:rPr>
        <w:rFonts w:hint="default"/>
      </w:rPr>
    </w:lvl>
    <w:lvl w:ilvl="2" w:tentative="0">
      <w:start w:val="1"/>
      <w:numFmt w:val="decimal"/>
      <w:lvlText w:val="%1.%2.%3"/>
      <w:lvlJc w:val="left"/>
      <w:pPr>
        <w:ind w:left="840" w:hanging="84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E68"/>
    <w:rsid w:val="0000025A"/>
    <w:rsid w:val="00002773"/>
    <w:rsid w:val="00003B97"/>
    <w:rsid w:val="00003FAF"/>
    <w:rsid w:val="000058BD"/>
    <w:rsid w:val="00005BE2"/>
    <w:rsid w:val="00005F52"/>
    <w:rsid w:val="00006B89"/>
    <w:rsid w:val="0000787C"/>
    <w:rsid w:val="00007AB6"/>
    <w:rsid w:val="000106FA"/>
    <w:rsid w:val="00011268"/>
    <w:rsid w:val="00011D32"/>
    <w:rsid w:val="00012585"/>
    <w:rsid w:val="0001333D"/>
    <w:rsid w:val="00013D81"/>
    <w:rsid w:val="00013E19"/>
    <w:rsid w:val="00013E78"/>
    <w:rsid w:val="00015DDD"/>
    <w:rsid w:val="000165C2"/>
    <w:rsid w:val="00016A6E"/>
    <w:rsid w:val="000170A1"/>
    <w:rsid w:val="00020096"/>
    <w:rsid w:val="00021837"/>
    <w:rsid w:val="0002217A"/>
    <w:rsid w:val="00022945"/>
    <w:rsid w:val="00022A64"/>
    <w:rsid w:val="000244CD"/>
    <w:rsid w:val="00024C29"/>
    <w:rsid w:val="000262B1"/>
    <w:rsid w:val="00027540"/>
    <w:rsid w:val="0003066F"/>
    <w:rsid w:val="00031E09"/>
    <w:rsid w:val="000321AE"/>
    <w:rsid w:val="000330EB"/>
    <w:rsid w:val="000333AF"/>
    <w:rsid w:val="000336F9"/>
    <w:rsid w:val="00034A39"/>
    <w:rsid w:val="00037A4E"/>
    <w:rsid w:val="0004050E"/>
    <w:rsid w:val="000407CE"/>
    <w:rsid w:val="00040E6F"/>
    <w:rsid w:val="00041CF0"/>
    <w:rsid w:val="00042447"/>
    <w:rsid w:val="000424E9"/>
    <w:rsid w:val="000439BB"/>
    <w:rsid w:val="00043B9D"/>
    <w:rsid w:val="00044B03"/>
    <w:rsid w:val="00046902"/>
    <w:rsid w:val="00046E1F"/>
    <w:rsid w:val="000473EF"/>
    <w:rsid w:val="00047F2C"/>
    <w:rsid w:val="000507D7"/>
    <w:rsid w:val="00050FCD"/>
    <w:rsid w:val="00052CE4"/>
    <w:rsid w:val="000534EA"/>
    <w:rsid w:val="00055D7F"/>
    <w:rsid w:val="00055DFB"/>
    <w:rsid w:val="00057FFC"/>
    <w:rsid w:val="00060097"/>
    <w:rsid w:val="00061BA9"/>
    <w:rsid w:val="00062A37"/>
    <w:rsid w:val="000641F2"/>
    <w:rsid w:val="000646BD"/>
    <w:rsid w:val="000648B4"/>
    <w:rsid w:val="00065584"/>
    <w:rsid w:val="00066585"/>
    <w:rsid w:val="00067BA2"/>
    <w:rsid w:val="00067D10"/>
    <w:rsid w:val="00074FCD"/>
    <w:rsid w:val="00074FEC"/>
    <w:rsid w:val="00075E57"/>
    <w:rsid w:val="00080BF2"/>
    <w:rsid w:val="000811FE"/>
    <w:rsid w:val="0008168F"/>
    <w:rsid w:val="00081F1D"/>
    <w:rsid w:val="00084403"/>
    <w:rsid w:val="00085A80"/>
    <w:rsid w:val="00090BAC"/>
    <w:rsid w:val="0009362D"/>
    <w:rsid w:val="000936D6"/>
    <w:rsid w:val="00093704"/>
    <w:rsid w:val="00094195"/>
    <w:rsid w:val="00094343"/>
    <w:rsid w:val="00094F91"/>
    <w:rsid w:val="000952A8"/>
    <w:rsid w:val="00095A0C"/>
    <w:rsid w:val="00096402"/>
    <w:rsid w:val="00096EF3"/>
    <w:rsid w:val="000973DB"/>
    <w:rsid w:val="0009787E"/>
    <w:rsid w:val="000A0319"/>
    <w:rsid w:val="000A13A5"/>
    <w:rsid w:val="000A224A"/>
    <w:rsid w:val="000A2ECC"/>
    <w:rsid w:val="000A59F8"/>
    <w:rsid w:val="000A5B0A"/>
    <w:rsid w:val="000A664A"/>
    <w:rsid w:val="000A6DD2"/>
    <w:rsid w:val="000A7874"/>
    <w:rsid w:val="000A78F2"/>
    <w:rsid w:val="000B0165"/>
    <w:rsid w:val="000B3FE2"/>
    <w:rsid w:val="000B5F8E"/>
    <w:rsid w:val="000C105E"/>
    <w:rsid w:val="000C19E2"/>
    <w:rsid w:val="000C1CEB"/>
    <w:rsid w:val="000C1DD8"/>
    <w:rsid w:val="000C25D7"/>
    <w:rsid w:val="000C2A72"/>
    <w:rsid w:val="000C4B72"/>
    <w:rsid w:val="000C5F38"/>
    <w:rsid w:val="000C65D7"/>
    <w:rsid w:val="000C7316"/>
    <w:rsid w:val="000C7EF0"/>
    <w:rsid w:val="000D1D0E"/>
    <w:rsid w:val="000D1DAD"/>
    <w:rsid w:val="000D252A"/>
    <w:rsid w:val="000D28C3"/>
    <w:rsid w:val="000D3C7B"/>
    <w:rsid w:val="000D4132"/>
    <w:rsid w:val="000D6045"/>
    <w:rsid w:val="000D6E59"/>
    <w:rsid w:val="000D712D"/>
    <w:rsid w:val="000D7BC5"/>
    <w:rsid w:val="000E0047"/>
    <w:rsid w:val="000E46A3"/>
    <w:rsid w:val="000E4779"/>
    <w:rsid w:val="000E53A7"/>
    <w:rsid w:val="000E76AE"/>
    <w:rsid w:val="000F0110"/>
    <w:rsid w:val="000F0182"/>
    <w:rsid w:val="000F1A08"/>
    <w:rsid w:val="000F3986"/>
    <w:rsid w:val="000F4852"/>
    <w:rsid w:val="000F5175"/>
    <w:rsid w:val="000F52EF"/>
    <w:rsid w:val="000F5B9A"/>
    <w:rsid w:val="00100899"/>
    <w:rsid w:val="00102C33"/>
    <w:rsid w:val="001031B7"/>
    <w:rsid w:val="001035AE"/>
    <w:rsid w:val="00103844"/>
    <w:rsid w:val="0010405A"/>
    <w:rsid w:val="001040D0"/>
    <w:rsid w:val="00104112"/>
    <w:rsid w:val="001044C6"/>
    <w:rsid w:val="0010473E"/>
    <w:rsid w:val="001049A9"/>
    <w:rsid w:val="00104A74"/>
    <w:rsid w:val="00104DC0"/>
    <w:rsid w:val="001104CF"/>
    <w:rsid w:val="00111243"/>
    <w:rsid w:val="001118C9"/>
    <w:rsid w:val="00111DC1"/>
    <w:rsid w:val="00112647"/>
    <w:rsid w:val="0011271D"/>
    <w:rsid w:val="0011526A"/>
    <w:rsid w:val="0011794A"/>
    <w:rsid w:val="00120F11"/>
    <w:rsid w:val="001213D8"/>
    <w:rsid w:val="00122A0B"/>
    <w:rsid w:val="00122CFC"/>
    <w:rsid w:val="001234F5"/>
    <w:rsid w:val="0012513D"/>
    <w:rsid w:val="00127ACE"/>
    <w:rsid w:val="00127DE5"/>
    <w:rsid w:val="00127F8E"/>
    <w:rsid w:val="001316A9"/>
    <w:rsid w:val="00135713"/>
    <w:rsid w:val="001359F5"/>
    <w:rsid w:val="0013683C"/>
    <w:rsid w:val="00137165"/>
    <w:rsid w:val="00137303"/>
    <w:rsid w:val="00137FEE"/>
    <w:rsid w:val="001409AC"/>
    <w:rsid w:val="0014105F"/>
    <w:rsid w:val="0014183F"/>
    <w:rsid w:val="0014266B"/>
    <w:rsid w:val="00142705"/>
    <w:rsid w:val="00143299"/>
    <w:rsid w:val="00143569"/>
    <w:rsid w:val="00143B54"/>
    <w:rsid w:val="00143D8A"/>
    <w:rsid w:val="00144237"/>
    <w:rsid w:val="0014463D"/>
    <w:rsid w:val="00150556"/>
    <w:rsid w:val="00151257"/>
    <w:rsid w:val="0015200A"/>
    <w:rsid w:val="00154C1A"/>
    <w:rsid w:val="00155284"/>
    <w:rsid w:val="00155B0D"/>
    <w:rsid w:val="0015649F"/>
    <w:rsid w:val="00156BD3"/>
    <w:rsid w:val="00156F06"/>
    <w:rsid w:val="0015710A"/>
    <w:rsid w:val="00160D94"/>
    <w:rsid w:val="00160DF7"/>
    <w:rsid w:val="00162D43"/>
    <w:rsid w:val="001636C0"/>
    <w:rsid w:val="00163760"/>
    <w:rsid w:val="001644CF"/>
    <w:rsid w:val="001654FF"/>
    <w:rsid w:val="00165DB9"/>
    <w:rsid w:val="00166F00"/>
    <w:rsid w:val="00170479"/>
    <w:rsid w:val="001713CF"/>
    <w:rsid w:val="0017198F"/>
    <w:rsid w:val="001724C1"/>
    <w:rsid w:val="0017384F"/>
    <w:rsid w:val="00176738"/>
    <w:rsid w:val="00176F2E"/>
    <w:rsid w:val="00177096"/>
    <w:rsid w:val="00183D06"/>
    <w:rsid w:val="00187280"/>
    <w:rsid w:val="001875D2"/>
    <w:rsid w:val="001903ED"/>
    <w:rsid w:val="00190486"/>
    <w:rsid w:val="001911D8"/>
    <w:rsid w:val="001915D7"/>
    <w:rsid w:val="00192854"/>
    <w:rsid w:val="00193D23"/>
    <w:rsid w:val="001949DA"/>
    <w:rsid w:val="00195145"/>
    <w:rsid w:val="00195155"/>
    <w:rsid w:val="00195B55"/>
    <w:rsid w:val="001978FD"/>
    <w:rsid w:val="00197B4D"/>
    <w:rsid w:val="001A050C"/>
    <w:rsid w:val="001A117D"/>
    <w:rsid w:val="001A27EE"/>
    <w:rsid w:val="001A2DE3"/>
    <w:rsid w:val="001A313B"/>
    <w:rsid w:val="001A3F7D"/>
    <w:rsid w:val="001A42DA"/>
    <w:rsid w:val="001A4E7D"/>
    <w:rsid w:val="001A5BA0"/>
    <w:rsid w:val="001B1DEE"/>
    <w:rsid w:val="001B2767"/>
    <w:rsid w:val="001B4882"/>
    <w:rsid w:val="001B4A54"/>
    <w:rsid w:val="001B58B7"/>
    <w:rsid w:val="001B66DB"/>
    <w:rsid w:val="001B6B8F"/>
    <w:rsid w:val="001B74EB"/>
    <w:rsid w:val="001C0699"/>
    <w:rsid w:val="001C144D"/>
    <w:rsid w:val="001C19AE"/>
    <w:rsid w:val="001C27F8"/>
    <w:rsid w:val="001C407F"/>
    <w:rsid w:val="001C50F5"/>
    <w:rsid w:val="001C5434"/>
    <w:rsid w:val="001C6961"/>
    <w:rsid w:val="001D0A23"/>
    <w:rsid w:val="001D1534"/>
    <w:rsid w:val="001D1C62"/>
    <w:rsid w:val="001D2903"/>
    <w:rsid w:val="001D6024"/>
    <w:rsid w:val="001D61E6"/>
    <w:rsid w:val="001D75B7"/>
    <w:rsid w:val="001E10A2"/>
    <w:rsid w:val="001E111D"/>
    <w:rsid w:val="001E1CBE"/>
    <w:rsid w:val="001E1F54"/>
    <w:rsid w:val="001E6F90"/>
    <w:rsid w:val="001E7372"/>
    <w:rsid w:val="001F110E"/>
    <w:rsid w:val="001F1FDE"/>
    <w:rsid w:val="001F2FFE"/>
    <w:rsid w:val="001F31F9"/>
    <w:rsid w:val="001F3A08"/>
    <w:rsid w:val="001F3CAC"/>
    <w:rsid w:val="001F5D6A"/>
    <w:rsid w:val="001F6071"/>
    <w:rsid w:val="001F6659"/>
    <w:rsid w:val="001F7830"/>
    <w:rsid w:val="001F7969"/>
    <w:rsid w:val="002005FB"/>
    <w:rsid w:val="00201533"/>
    <w:rsid w:val="00201A21"/>
    <w:rsid w:val="00202C20"/>
    <w:rsid w:val="00204435"/>
    <w:rsid w:val="00205590"/>
    <w:rsid w:val="00205DF0"/>
    <w:rsid w:val="0020745B"/>
    <w:rsid w:val="002136D0"/>
    <w:rsid w:val="00213840"/>
    <w:rsid w:val="002148F0"/>
    <w:rsid w:val="0021527F"/>
    <w:rsid w:val="0021607D"/>
    <w:rsid w:val="002161EB"/>
    <w:rsid w:val="002172C3"/>
    <w:rsid w:val="00217484"/>
    <w:rsid w:val="00221796"/>
    <w:rsid w:val="00222002"/>
    <w:rsid w:val="00222825"/>
    <w:rsid w:val="00223359"/>
    <w:rsid w:val="00225740"/>
    <w:rsid w:val="00225FF0"/>
    <w:rsid w:val="002272F6"/>
    <w:rsid w:val="00230D17"/>
    <w:rsid w:val="00231064"/>
    <w:rsid w:val="00231CD6"/>
    <w:rsid w:val="00232FD3"/>
    <w:rsid w:val="002367BC"/>
    <w:rsid w:val="00237436"/>
    <w:rsid w:val="0024037F"/>
    <w:rsid w:val="0024054D"/>
    <w:rsid w:val="0024493C"/>
    <w:rsid w:val="00246C8B"/>
    <w:rsid w:val="00247C62"/>
    <w:rsid w:val="00247FA5"/>
    <w:rsid w:val="0025014D"/>
    <w:rsid w:val="00250F32"/>
    <w:rsid w:val="00251ADB"/>
    <w:rsid w:val="00252430"/>
    <w:rsid w:val="00252E17"/>
    <w:rsid w:val="00253309"/>
    <w:rsid w:val="00254E7A"/>
    <w:rsid w:val="0025515C"/>
    <w:rsid w:val="002553D9"/>
    <w:rsid w:val="0025734C"/>
    <w:rsid w:val="00257545"/>
    <w:rsid w:val="002576D8"/>
    <w:rsid w:val="00260C2E"/>
    <w:rsid w:val="002617C5"/>
    <w:rsid w:val="0026368D"/>
    <w:rsid w:val="00263745"/>
    <w:rsid w:val="0026399E"/>
    <w:rsid w:val="002652C7"/>
    <w:rsid w:val="002652F7"/>
    <w:rsid w:val="00266832"/>
    <w:rsid w:val="00267015"/>
    <w:rsid w:val="002672DA"/>
    <w:rsid w:val="00267D96"/>
    <w:rsid w:val="00267E8A"/>
    <w:rsid w:val="00267FBB"/>
    <w:rsid w:val="002716F8"/>
    <w:rsid w:val="00271B5F"/>
    <w:rsid w:val="00271FCD"/>
    <w:rsid w:val="0027285C"/>
    <w:rsid w:val="002733A4"/>
    <w:rsid w:val="002762C4"/>
    <w:rsid w:val="002769F6"/>
    <w:rsid w:val="002821B7"/>
    <w:rsid w:val="002829B7"/>
    <w:rsid w:val="00284D60"/>
    <w:rsid w:val="00285462"/>
    <w:rsid w:val="00285512"/>
    <w:rsid w:val="00285FE6"/>
    <w:rsid w:val="0028722C"/>
    <w:rsid w:val="00287E3A"/>
    <w:rsid w:val="0029200C"/>
    <w:rsid w:val="002920AC"/>
    <w:rsid w:val="0029301A"/>
    <w:rsid w:val="00293FEC"/>
    <w:rsid w:val="00294121"/>
    <w:rsid w:val="00294560"/>
    <w:rsid w:val="00296E61"/>
    <w:rsid w:val="00296EEA"/>
    <w:rsid w:val="00297BE7"/>
    <w:rsid w:val="002A04B9"/>
    <w:rsid w:val="002A3F59"/>
    <w:rsid w:val="002A4935"/>
    <w:rsid w:val="002B0849"/>
    <w:rsid w:val="002B12B5"/>
    <w:rsid w:val="002B1EA7"/>
    <w:rsid w:val="002B287C"/>
    <w:rsid w:val="002B2DE8"/>
    <w:rsid w:val="002B3064"/>
    <w:rsid w:val="002B373D"/>
    <w:rsid w:val="002B50C6"/>
    <w:rsid w:val="002B69C6"/>
    <w:rsid w:val="002C1E85"/>
    <w:rsid w:val="002C2087"/>
    <w:rsid w:val="002C31B8"/>
    <w:rsid w:val="002C3758"/>
    <w:rsid w:val="002C4136"/>
    <w:rsid w:val="002C44C2"/>
    <w:rsid w:val="002C6E53"/>
    <w:rsid w:val="002C7386"/>
    <w:rsid w:val="002D15CC"/>
    <w:rsid w:val="002D1876"/>
    <w:rsid w:val="002D255B"/>
    <w:rsid w:val="002D5EEC"/>
    <w:rsid w:val="002D608E"/>
    <w:rsid w:val="002D60A8"/>
    <w:rsid w:val="002D69CA"/>
    <w:rsid w:val="002D7381"/>
    <w:rsid w:val="002E1EA2"/>
    <w:rsid w:val="002E3200"/>
    <w:rsid w:val="002E3272"/>
    <w:rsid w:val="002E3972"/>
    <w:rsid w:val="002E4BA5"/>
    <w:rsid w:val="002E4E1A"/>
    <w:rsid w:val="002E55A4"/>
    <w:rsid w:val="002E5605"/>
    <w:rsid w:val="002E598E"/>
    <w:rsid w:val="002E6169"/>
    <w:rsid w:val="002E715A"/>
    <w:rsid w:val="002F09AE"/>
    <w:rsid w:val="002F107E"/>
    <w:rsid w:val="002F4E10"/>
    <w:rsid w:val="002F5EF4"/>
    <w:rsid w:val="002F6066"/>
    <w:rsid w:val="002F71F8"/>
    <w:rsid w:val="002F7E52"/>
    <w:rsid w:val="0030050F"/>
    <w:rsid w:val="00301590"/>
    <w:rsid w:val="00301D7B"/>
    <w:rsid w:val="0030234A"/>
    <w:rsid w:val="00303627"/>
    <w:rsid w:val="0030399D"/>
    <w:rsid w:val="00305193"/>
    <w:rsid w:val="003054F8"/>
    <w:rsid w:val="00307D95"/>
    <w:rsid w:val="0031065A"/>
    <w:rsid w:val="003120B5"/>
    <w:rsid w:val="00312A97"/>
    <w:rsid w:val="00313003"/>
    <w:rsid w:val="003132E6"/>
    <w:rsid w:val="003152D5"/>
    <w:rsid w:val="003155EB"/>
    <w:rsid w:val="003174D1"/>
    <w:rsid w:val="003178D9"/>
    <w:rsid w:val="00317F45"/>
    <w:rsid w:val="00320D76"/>
    <w:rsid w:val="00321098"/>
    <w:rsid w:val="003217DC"/>
    <w:rsid w:val="00322FB8"/>
    <w:rsid w:val="0032337F"/>
    <w:rsid w:val="00323AD6"/>
    <w:rsid w:val="0032536E"/>
    <w:rsid w:val="003253B5"/>
    <w:rsid w:val="0032552A"/>
    <w:rsid w:val="00325AC2"/>
    <w:rsid w:val="00325DB1"/>
    <w:rsid w:val="003260D0"/>
    <w:rsid w:val="00327E9B"/>
    <w:rsid w:val="003309C6"/>
    <w:rsid w:val="00331794"/>
    <w:rsid w:val="00331875"/>
    <w:rsid w:val="00332667"/>
    <w:rsid w:val="003331F3"/>
    <w:rsid w:val="00333FAD"/>
    <w:rsid w:val="003359FD"/>
    <w:rsid w:val="0033705F"/>
    <w:rsid w:val="00337EC3"/>
    <w:rsid w:val="003406AF"/>
    <w:rsid w:val="0034119F"/>
    <w:rsid w:val="0034389C"/>
    <w:rsid w:val="00343ACD"/>
    <w:rsid w:val="0034452E"/>
    <w:rsid w:val="00346390"/>
    <w:rsid w:val="003470AA"/>
    <w:rsid w:val="00347E4F"/>
    <w:rsid w:val="00350DCC"/>
    <w:rsid w:val="00353649"/>
    <w:rsid w:val="00353B5A"/>
    <w:rsid w:val="00353BFB"/>
    <w:rsid w:val="00353CC7"/>
    <w:rsid w:val="00353CC8"/>
    <w:rsid w:val="0035472D"/>
    <w:rsid w:val="00355C0A"/>
    <w:rsid w:val="003570CD"/>
    <w:rsid w:val="00357339"/>
    <w:rsid w:val="00357460"/>
    <w:rsid w:val="00360299"/>
    <w:rsid w:val="003610EF"/>
    <w:rsid w:val="00361850"/>
    <w:rsid w:val="003620C7"/>
    <w:rsid w:val="0036218E"/>
    <w:rsid w:val="0036240E"/>
    <w:rsid w:val="003624B0"/>
    <w:rsid w:val="00362BCF"/>
    <w:rsid w:val="00363005"/>
    <w:rsid w:val="00363330"/>
    <w:rsid w:val="003677A4"/>
    <w:rsid w:val="00370444"/>
    <w:rsid w:val="00370C92"/>
    <w:rsid w:val="00371320"/>
    <w:rsid w:val="0037388A"/>
    <w:rsid w:val="00375165"/>
    <w:rsid w:val="00376A36"/>
    <w:rsid w:val="00377593"/>
    <w:rsid w:val="003778E3"/>
    <w:rsid w:val="0038072E"/>
    <w:rsid w:val="00380EDA"/>
    <w:rsid w:val="00381A97"/>
    <w:rsid w:val="00383423"/>
    <w:rsid w:val="0038694E"/>
    <w:rsid w:val="0038706B"/>
    <w:rsid w:val="003874F4"/>
    <w:rsid w:val="0039061A"/>
    <w:rsid w:val="00390847"/>
    <w:rsid w:val="00390A4D"/>
    <w:rsid w:val="003911C3"/>
    <w:rsid w:val="00392532"/>
    <w:rsid w:val="003947AD"/>
    <w:rsid w:val="003A0051"/>
    <w:rsid w:val="003A0B2F"/>
    <w:rsid w:val="003A2974"/>
    <w:rsid w:val="003A6010"/>
    <w:rsid w:val="003A6314"/>
    <w:rsid w:val="003A6B04"/>
    <w:rsid w:val="003A7489"/>
    <w:rsid w:val="003A78DE"/>
    <w:rsid w:val="003B0F88"/>
    <w:rsid w:val="003B1067"/>
    <w:rsid w:val="003B22F1"/>
    <w:rsid w:val="003B2588"/>
    <w:rsid w:val="003B276C"/>
    <w:rsid w:val="003B4544"/>
    <w:rsid w:val="003B4676"/>
    <w:rsid w:val="003B5A24"/>
    <w:rsid w:val="003B7912"/>
    <w:rsid w:val="003C24A5"/>
    <w:rsid w:val="003C3042"/>
    <w:rsid w:val="003C5303"/>
    <w:rsid w:val="003C5886"/>
    <w:rsid w:val="003C7C56"/>
    <w:rsid w:val="003D02F1"/>
    <w:rsid w:val="003D15F2"/>
    <w:rsid w:val="003D2B3B"/>
    <w:rsid w:val="003D36B4"/>
    <w:rsid w:val="003D4F13"/>
    <w:rsid w:val="003D7A73"/>
    <w:rsid w:val="003E26EE"/>
    <w:rsid w:val="003E4672"/>
    <w:rsid w:val="003E4856"/>
    <w:rsid w:val="003E746A"/>
    <w:rsid w:val="003E77E6"/>
    <w:rsid w:val="003F1B6E"/>
    <w:rsid w:val="003F3531"/>
    <w:rsid w:val="003F4AEA"/>
    <w:rsid w:val="003F4C5F"/>
    <w:rsid w:val="003F4CD3"/>
    <w:rsid w:val="003F4E95"/>
    <w:rsid w:val="003F592C"/>
    <w:rsid w:val="003F5D04"/>
    <w:rsid w:val="003F6242"/>
    <w:rsid w:val="003F6B5E"/>
    <w:rsid w:val="003F6BC4"/>
    <w:rsid w:val="003F6FB0"/>
    <w:rsid w:val="0040054E"/>
    <w:rsid w:val="00400769"/>
    <w:rsid w:val="00400D4B"/>
    <w:rsid w:val="00401D0E"/>
    <w:rsid w:val="00402258"/>
    <w:rsid w:val="00402C6A"/>
    <w:rsid w:val="0040536B"/>
    <w:rsid w:val="004057B9"/>
    <w:rsid w:val="00405C63"/>
    <w:rsid w:val="004060A2"/>
    <w:rsid w:val="004069CC"/>
    <w:rsid w:val="00407944"/>
    <w:rsid w:val="004123D7"/>
    <w:rsid w:val="00414D5F"/>
    <w:rsid w:val="004154C7"/>
    <w:rsid w:val="00417517"/>
    <w:rsid w:val="00420431"/>
    <w:rsid w:val="00422562"/>
    <w:rsid w:val="004236B9"/>
    <w:rsid w:val="00426EE3"/>
    <w:rsid w:val="00427418"/>
    <w:rsid w:val="00427F4E"/>
    <w:rsid w:val="004315EB"/>
    <w:rsid w:val="00433A5E"/>
    <w:rsid w:val="00433F24"/>
    <w:rsid w:val="004348A7"/>
    <w:rsid w:val="00435827"/>
    <w:rsid w:val="00435957"/>
    <w:rsid w:val="004369DC"/>
    <w:rsid w:val="00436C78"/>
    <w:rsid w:val="004418F4"/>
    <w:rsid w:val="00442902"/>
    <w:rsid w:val="00442E8F"/>
    <w:rsid w:val="0044486D"/>
    <w:rsid w:val="00444DCC"/>
    <w:rsid w:val="00444EFD"/>
    <w:rsid w:val="0044632B"/>
    <w:rsid w:val="00446F92"/>
    <w:rsid w:val="0044798F"/>
    <w:rsid w:val="00450185"/>
    <w:rsid w:val="00450671"/>
    <w:rsid w:val="00450ADA"/>
    <w:rsid w:val="0045114A"/>
    <w:rsid w:val="00457403"/>
    <w:rsid w:val="00460248"/>
    <w:rsid w:val="004610DE"/>
    <w:rsid w:val="00461795"/>
    <w:rsid w:val="00461BB6"/>
    <w:rsid w:val="00461F8F"/>
    <w:rsid w:val="00463941"/>
    <w:rsid w:val="00465539"/>
    <w:rsid w:val="004668B2"/>
    <w:rsid w:val="00467783"/>
    <w:rsid w:val="00470228"/>
    <w:rsid w:val="00470633"/>
    <w:rsid w:val="004713AD"/>
    <w:rsid w:val="00471E37"/>
    <w:rsid w:val="00477F46"/>
    <w:rsid w:val="00477FF3"/>
    <w:rsid w:val="00480188"/>
    <w:rsid w:val="00480C7F"/>
    <w:rsid w:val="00484CB5"/>
    <w:rsid w:val="004850F2"/>
    <w:rsid w:val="00485D59"/>
    <w:rsid w:val="004865E0"/>
    <w:rsid w:val="00486DEE"/>
    <w:rsid w:val="00487C6C"/>
    <w:rsid w:val="00492390"/>
    <w:rsid w:val="00492426"/>
    <w:rsid w:val="00494448"/>
    <w:rsid w:val="00496F60"/>
    <w:rsid w:val="00497FDE"/>
    <w:rsid w:val="004A08EE"/>
    <w:rsid w:val="004A0A04"/>
    <w:rsid w:val="004A31E9"/>
    <w:rsid w:val="004A35CB"/>
    <w:rsid w:val="004A3CFF"/>
    <w:rsid w:val="004A42AA"/>
    <w:rsid w:val="004A50C9"/>
    <w:rsid w:val="004A5522"/>
    <w:rsid w:val="004A6832"/>
    <w:rsid w:val="004B05AE"/>
    <w:rsid w:val="004B0761"/>
    <w:rsid w:val="004B10ED"/>
    <w:rsid w:val="004B4097"/>
    <w:rsid w:val="004B4616"/>
    <w:rsid w:val="004B6229"/>
    <w:rsid w:val="004C0819"/>
    <w:rsid w:val="004C1910"/>
    <w:rsid w:val="004C2F4D"/>
    <w:rsid w:val="004C6324"/>
    <w:rsid w:val="004C6DB5"/>
    <w:rsid w:val="004C7DD2"/>
    <w:rsid w:val="004D0655"/>
    <w:rsid w:val="004D13EE"/>
    <w:rsid w:val="004D2B03"/>
    <w:rsid w:val="004D30BE"/>
    <w:rsid w:val="004D3818"/>
    <w:rsid w:val="004D3A73"/>
    <w:rsid w:val="004D710C"/>
    <w:rsid w:val="004E0249"/>
    <w:rsid w:val="004E045C"/>
    <w:rsid w:val="004E0F50"/>
    <w:rsid w:val="004E1A6E"/>
    <w:rsid w:val="004E21A7"/>
    <w:rsid w:val="004E2B87"/>
    <w:rsid w:val="004E311C"/>
    <w:rsid w:val="004E382B"/>
    <w:rsid w:val="004E690C"/>
    <w:rsid w:val="004E7B47"/>
    <w:rsid w:val="004F2FFE"/>
    <w:rsid w:val="004F4F74"/>
    <w:rsid w:val="004F4F9C"/>
    <w:rsid w:val="004F633C"/>
    <w:rsid w:val="00500132"/>
    <w:rsid w:val="005006F3"/>
    <w:rsid w:val="005013B5"/>
    <w:rsid w:val="0050333A"/>
    <w:rsid w:val="00503E22"/>
    <w:rsid w:val="00503FAC"/>
    <w:rsid w:val="00504A67"/>
    <w:rsid w:val="00506355"/>
    <w:rsid w:val="00506E8E"/>
    <w:rsid w:val="005103E8"/>
    <w:rsid w:val="00511203"/>
    <w:rsid w:val="00511D18"/>
    <w:rsid w:val="00511D8C"/>
    <w:rsid w:val="005127C8"/>
    <w:rsid w:val="00513242"/>
    <w:rsid w:val="00513705"/>
    <w:rsid w:val="0051494F"/>
    <w:rsid w:val="005172B8"/>
    <w:rsid w:val="00520B64"/>
    <w:rsid w:val="00521AB5"/>
    <w:rsid w:val="0052295F"/>
    <w:rsid w:val="005232AD"/>
    <w:rsid w:val="00530A34"/>
    <w:rsid w:val="00531DFA"/>
    <w:rsid w:val="00532DD6"/>
    <w:rsid w:val="005349F8"/>
    <w:rsid w:val="00534F9E"/>
    <w:rsid w:val="00535586"/>
    <w:rsid w:val="0053559A"/>
    <w:rsid w:val="0053604B"/>
    <w:rsid w:val="00536785"/>
    <w:rsid w:val="005378B9"/>
    <w:rsid w:val="0054110A"/>
    <w:rsid w:val="00541711"/>
    <w:rsid w:val="00541A56"/>
    <w:rsid w:val="005435F5"/>
    <w:rsid w:val="005448E0"/>
    <w:rsid w:val="00547586"/>
    <w:rsid w:val="00547760"/>
    <w:rsid w:val="00551A87"/>
    <w:rsid w:val="0055604F"/>
    <w:rsid w:val="00556360"/>
    <w:rsid w:val="00556665"/>
    <w:rsid w:val="00556BAA"/>
    <w:rsid w:val="005572D6"/>
    <w:rsid w:val="00557952"/>
    <w:rsid w:val="00561592"/>
    <w:rsid w:val="00562F37"/>
    <w:rsid w:val="00563BC5"/>
    <w:rsid w:val="00565025"/>
    <w:rsid w:val="00566805"/>
    <w:rsid w:val="00566C1B"/>
    <w:rsid w:val="00570C06"/>
    <w:rsid w:val="00570EDB"/>
    <w:rsid w:val="00570FFB"/>
    <w:rsid w:val="00571063"/>
    <w:rsid w:val="00571282"/>
    <w:rsid w:val="00571727"/>
    <w:rsid w:val="00571D04"/>
    <w:rsid w:val="005726E7"/>
    <w:rsid w:val="00573731"/>
    <w:rsid w:val="0057587D"/>
    <w:rsid w:val="0058080F"/>
    <w:rsid w:val="00581A2D"/>
    <w:rsid w:val="0058242B"/>
    <w:rsid w:val="005837E3"/>
    <w:rsid w:val="005842C0"/>
    <w:rsid w:val="0058518C"/>
    <w:rsid w:val="00586224"/>
    <w:rsid w:val="00587DCA"/>
    <w:rsid w:val="00590509"/>
    <w:rsid w:val="005906E3"/>
    <w:rsid w:val="00590DD6"/>
    <w:rsid w:val="00591AD5"/>
    <w:rsid w:val="00592558"/>
    <w:rsid w:val="00593882"/>
    <w:rsid w:val="00594A6C"/>
    <w:rsid w:val="00595580"/>
    <w:rsid w:val="00597A2B"/>
    <w:rsid w:val="005A02A8"/>
    <w:rsid w:val="005A0AF7"/>
    <w:rsid w:val="005A1BAB"/>
    <w:rsid w:val="005A29EA"/>
    <w:rsid w:val="005A2A15"/>
    <w:rsid w:val="005A4DB4"/>
    <w:rsid w:val="005A6533"/>
    <w:rsid w:val="005A716C"/>
    <w:rsid w:val="005B089B"/>
    <w:rsid w:val="005B2337"/>
    <w:rsid w:val="005B2AFE"/>
    <w:rsid w:val="005B3527"/>
    <w:rsid w:val="005B7EAF"/>
    <w:rsid w:val="005C05FC"/>
    <w:rsid w:val="005C141D"/>
    <w:rsid w:val="005C1605"/>
    <w:rsid w:val="005C246A"/>
    <w:rsid w:val="005C44FB"/>
    <w:rsid w:val="005C4BFC"/>
    <w:rsid w:val="005C54E8"/>
    <w:rsid w:val="005C5934"/>
    <w:rsid w:val="005C6E95"/>
    <w:rsid w:val="005C6F89"/>
    <w:rsid w:val="005D0DB1"/>
    <w:rsid w:val="005D20CF"/>
    <w:rsid w:val="005D58E6"/>
    <w:rsid w:val="005D6426"/>
    <w:rsid w:val="005D7322"/>
    <w:rsid w:val="005D747F"/>
    <w:rsid w:val="005D77D2"/>
    <w:rsid w:val="005E0262"/>
    <w:rsid w:val="005E0361"/>
    <w:rsid w:val="005E0BE1"/>
    <w:rsid w:val="005E111B"/>
    <w:rsid w:val="005E1499"/>
    <w:rsid w:val="005E2006"/>
    <w:rsid w:val="005E3E61"/>
    <w:rsid w:val="005E5CF0"/>
    <w:rsid w:val="005E7259"/>
    <w:rsid w:val="005F1146"/>
    <w:rsid w:val="005F1767"/>
    <w:rsid w:val="005F1C3C"/>
    <w:rsid w:val="005F2F08"/>
    <w:rsid w:val="005F31AF"/>
    <w:rsid w:val="005F370E"/>
    <w:rsid w:val="005F6554"/>
    <w:rsid w:val="005F7196"/>
    <w:rsid w:val="005F7DD3"/>
    <w:rsid w:val="005F7EFA"/>
    <w:rsid w:val="00600037"/>
    <w:rsid w:val="00605EFE"/>
    <w:rsid w:val="00610D6A"/>
    <w:rsid w:val="006115BF"/>
    <w:rsid w:val="006116E5"/>
    <w:rsid w:val="00611A02"/>
    <w:rsid w:val="00611C54"/>
    <w:rsid w:val="006130C1"/>
    <w:rsid w:val="0061391E"/>
    <w:rsid w:val="00614008"/>
    <w:rsid w:val="00614165"/>
    <w:rsid w:val="0061466B"/>
    <w:rsid w:val="00614964"/>
    <w:rsid w:val="00614AD7"/>
    <w:rsid w:val="006156BC"/>
    <w:rsid w:val="00615733"/>
    <w:rsid w:val="0061591B"/>
    <w:rsid w:val="0061797A"/>
    <w:rsid w:val="00620A4D"/>
    <w:rsid w:val="00620DD0"/>
    <w:rsid w:val="00621717"/>
    <w:rsid w:val="0062204F"/>
    <w:rsid w:val="006248A8"/>
    <w:rsid w:val="00624AA7"/>
    <w:rsid w:val="0062557F"/>
    <w:rsid w:val="00625ED5"/>
    <w:rsid w:val="00626078"/>
    <w:rsid w:val="00630197"/>
    <w:rsid w:val="00630C8D"/>
    <w:rsid w:val="0063117F"/>
    <w:rsid w:val="00632713"/>
    <w:rsid w:val="00633035"/>
    <w:rsid w:val="006347AB"/>
    <w:rsid w:val="0063508C"/>
    <w:rsid w:val="0063736E"/>
    <w:rsid w:val="0064155F"/>
    <w:rsid w:val="006416B3"/>
    <w:rsid w:val="006421EB"/>
    <w:rsid w:val="00642850"/>
    <w:rsid w:val="006478DB"/>
    <w:rsid w:val="006500EA"/>
    <w:rsid w:val="00650D33"/>
    <w:rsid w:val="00652570"/>
    <w:rsid w:val="00653892"/>
    <w:rsid w:val="00653AB2"/>
    <w:rsid w:val="00653C4D"/>
    <w:rsid w:val="00655FFA"/>
    <w:rsid w:val="00656B06"/>
    <w:rsid w:val="00656C1E"/>
    <w:rsid w:val="00656DC9"/>
    <w:rsid w:val="00657F4D"/>
    <w:rsid w:val="006600AA"/>
    <w:rsid w:val="00660B0C"/>
    <w:rsid w:val="00661E19"/>
    <w:rsid w:val="00662FA7"/>
    <w:rsid w:val="00663698"/>
    <w:rsid w:val="00663864"/>
    <w:rsid w:val="00663AC4"/>
    <w:rsid w:val="00664D74"/>
    <w:rsid w:val="006651CB"/>
    <w:rsid w:val="00665476"/>
    <w:rsid w:val="00665935"/>
    <w:rsid w:val="006666D4"/>
    <w:rsid w:val="00666B4C"/>
    <w:rsid w:val="00666C57"/>
    <w:rsid w:val="006670E2"/>
    <w:rsid w:val="00667424"/>
    <w:rsid w:val="00667C77"/>
    <w:rsid w:val="00667F05"/>
    <w:rsid w:val="006718A4"/>
    <w:rsid w:val="00672010"/>
    <w:rsid w:val="00677540"/>
    <w:rsid w:val="0067782D"/>
    <w:rsid w:val="0068041D"/>
    <w:rsid w:val="006807E0"/>
    <w:rsid w:val="00682D4C"/>
    <w:rsid w:val="00683A9D"/>
    <w:rsid w:val="0068674C"/>
    <w:rsid w:val="0069070F"/>
    <w:rsid w:val="00691F92"/>
    <w:rsid w:val="0069312E"/>
    <w:rsid w:val="00694293"/>
    <w:rsid w:val="00694817"/>
    <w:rsid w:val="00695327"/>
    <w:rsid w:val="00696CFB"/>
    <w:rsid w:val="006A00AE"/>
    <w:rsid w:val="006A0BA7"/>
    <w:rsid w:val="006A0F64"/>
    <w:rsid w:val="006A2E74"/>
    <w:rsid w:val="006A3282"/>
    <w:rsid w:val="006A3E73"/>
    <w:rsid w:val="006A4CBB"/>
    <w:rsid w:val="006A6311"/>
    <w:rsid w:val="006A7270"/>
    <w:rsid w:val="006A7D0D"/>
    <w:rsid w:val="006A7F87"/>
    <w:rsid w:val="006B312F"/>
    <w:rsid w:val="006B3FC7"/>
    <w:rsid w:val="006B4690"/>
    <w:rsid w:val="006B474D"/>
    <w:rsid w:val="006B4FF8"/>
    <w:rsid w:val="006B5B60"/>
    <w:rsid w:val="006B68AD"/>
    <w:rsid w:val="006B7BF4"/>
    <w:rsid w:val="006C10E4"/>
    <w:rsid w:val="006C3024"/>
    <w:rsid w:val="006C6F4D"/>
    <w:rsid w:val="006D1271"/>
    <w:rsid w:val="006D12B9"/>
    <w:rsid w:val="006D1493"/>
    <w:rsid w:val="006D1837"/>
    <w:rsid w:val="006D1857"/>
    <w:rsid w:val="006D1B46"/>
    <w:rsid w:val="006D2B86"/>
    <w:rsid w:val="006D2CDD"/>
    <w:rsid w:val="006D3799"/>
    <w:rsid w:val="006D4B39"/>
    <w:rsid w:val="006D518D"/>
    <w:rsid w:val="006D58DF"/>
    <w:rsid w:val="006D5E78"/>
    <w:rsid w:val="006D6729"/>
    <w:rsid w:val="006D6C62"/>
    <w:rsid w:val="006D7FA1"/>
    <w:rsid w:val="006E007E"/>
    <w:rsid w:val="006E06F1"/>
    <w:rsid w:val="006E1499"/>
    <w:rsid w:val="006E323A"/>
    <w:rsid w:val="006E387D"/>
    <w:rsid w:val="006E4106"/>
    <w:rsid w:val="006E463E"/>
    <w:rsid w:val="006E50A6"/>
    <w:rsid w:val="006E58A7"/>
    <w:rsid w:val="006E700E"/>
    <w:rsid w:val="006E750E"/>
    <w:rsid w:val="006E756F"/>
    <w:rsid w:val="006F1DC9"/>
    <w:rsid w:val="006F2B6E"/>
    <w:rsid w:val="006F5288"/>
    <w:rsid w:val="006F5F61"/>
    <w:rsid w:val="006F6198"/>
    <w:rsid w:val="006F6865"/>
    <w:rsid w:val="006F74B9"/>
    <w:rsid w:val="0070060C"/>
    <w:rsid w:val="00703698"/>
    <w:rsid w:val="007039E1"/>
    <w:rsid w:val="00704297"/>
    <w:rsid w:val="00704530"/>
    <w:rsid w:val="007049C2"/>
    <w:rsid w:val="00704DFE"/>
    <w:rsid w:val="007055D1"/>
    <w:rsid w:val="0070704E"/>
    <w:rsid w:val="00711AD0"/>
    <w:rsid w:val="00712085"/>
    <w:rsid w:val="00714AC0"/>
    <w:rsid w:val="00714E38"/>
    <w:rsid w:val="007150D8"/>
    <w:rsid w:val="007157A4"/>
    <w:rsid w:val="007158A4"/>
    <w:rsid w:val="00716A85"/>
    <w:rsid w:val="00720216"/>
    <w:rsid w:val="00723A1B"/>
    <w:rsid w:val="007258B0"/>
    <w:rsid w:val="00727BA0"/>
    <w:rsid w:val="00730E9E"/>
    <w:rsid w:val="00732459"/>
    <w:rsid w:val="0073482B"/>
    <w:rsid w:val="00736F10"/>
    <w:rsid w:val="007407A5"/>
    <w:rsid w:val="00740A02"/>
    <w:rsid w:val="00741604"/>
    <w:rsid w:val="00742471"/>
    <w:rsid w:val="007437F2"/>
    <w:rsid w:val="007450D4"/>
    <w:rsid w:val="00746640"/>
    <w:rsid w:val="00746A78"/>
    <w:rsid w:val="00747C13"/>
    <w:rsid w:val="00747C35"/>
    <w:rsid w:val="00750EEA"/>
    <w:rsid w:val="007512F6"/>
    <w:rsid w:val="00752031"/>
    <w:rsid w:val="00752249"/>
    <w:rsid w:val="00752C0F"/>
    <w:rsid w:val="00753A4E"/>
    <w:rsid w:val="0075448E"/>
    <w:rsid w:val="0075492B"/>
    <w:rsid w:val="00754C7B"/>
    <w:rsid w:val="007550BF"/>
    <w:rsid w:val="00756023"/>
    <w:rsid w:val="00757AE6"/>
    <w:rsid w:val="00760DBD"/>
    <w:rsid w:val="00760FAC"/>
    <w:rsid w:val="007610F8"/>
    <w:rsid w:val="007632C8"/>
    <w:rsid w:val="007638C0"/>
    <w:rsid w:val="00764683"/>
    <w:rsid w:val="00765D8A"/>
    <w:rsid w:val="0076629E"/>
    <w:rsid w:val="00766770"/>
    <w:rsid w:val="0076688A"/>
    <w:rsid w:val="007677A0"/>
    <w:rsid w:val="00770CAC"/>
    <w:rsid w:val="00770E6D"/>
    <w:rsid w:val="0077223C"/>
    <w:rsid w:val="007735CE"/>
    <w:rsid w:val="00773DF6"/>
    <w:rsid w:val="007749BD"/>
    <w:rsid w:val="00775A7D"/>
    <w:rsid w:val="0077647B"/>
    <w:rsid w:val="00776B01"/>
    <w:rsid w:val="00776EF0"/>
    <w:rsid w:val="0077782C"/>
    <w:rsid w:val="007800F7"/>
    <w:rsid w:val="00780A8F"/>
    <w:rsid w:val="007811B1"/>
    <w:rsid w:val="00782BB6"/>
    <w:rsid w:val="0078411B"/>
    <w:rsid w:val="0078567F"/>
    <w:rsid w:val="0078632D"/>
    <w:rsid w:val="00787296"/>
    <w:rsid w:val="00787CD1"/>
    <w:rsid w:val="00787E77"/>
    <w:rsid w:val="00791546"/>
    <w:rsid w:val="007915C3"/>
    <w:rsid w:val="00792657"/>
    <w:rsid w:val="007932A6"/>
    <w:rsid w:val="00794460"/>
    <w:rsid w:val="00794514"/>
    <w:rsid w:val="00795041"/>
    <w:rsid w:val="007957C1"/>
    <w:rsid w:val="007960D1"/>
    <w:rsid w:val="00796E3D"/>
    <w:rsid w:val="007A0465"/>
    <w:rsid w:val="007A1169"/>
    <w:rsid w:val="007A187E"/>
    <w:rsid w:val="007A25E0"/>
    <w:rsid w:val="007A49EE"/>
    <w:rsid w:val="007A49FF"/>
    <w:rsid w:val="007A59A3"/>
    <w:rsid w:val="007A6CC3"/>
    <w:rsid w:val="007B0D32"/>
    <w:rsid w:val="007B15B9"/>
    <w:rsid w:val="007B2195"/>
    <w:rsid w:val="007B232A"/>
    <w:rsid w:val="007B2447"/>
    <w:rsid w:val="007B3601"/>
    <w:rsid w:val="007B500E"/>
    <w:rsid w:val="007B5A6B"/>
    <w:rsid w:val="007C2F4E"/>
    <w:rsid w:val="007C3AFC"/>
    <w:rsid w:val="007C6DD8"/>
    <w:rsid w:val="007C76E0"/>
    <w:rsid w:val="007D1778"/>
    <w:rsid w:val="007D1D97"/>
    <w:rsid w:val="007D267B"/>
    <w:rsid w:val="007D2E09"/>
    <w:rsid w:val="007D555B"/>
    <w:rsid w:val="007D5919"/>
    <w:rsid w:val="007D5E27"/>
    <w:rsid w:val="007D5E7C"/>
    <w:rsid w:val="007D6727"/>
    <w:rsid w:val="007D6C85"/>
    <w:rsid w:val="007E04C0"/>
    <w:rsid w:val="007E1F3C"/>
    <w:rsid w:val="007E2561"/>
    <w:rsid w:val="007E300A"/>
    <w:rsid w:val="007E39A5"/>
    <w:rsid w:val="007E448B"/>
    <w:rsid w:val="007F0810"/>
    <w:rsid w:val="007F0ABA"/>
    <w:rsid w:val="007F1044"/>
    <w:rsid w:val="007F3F00"/>
    <w:rsid w:val="007F43DE"/>
    <w:rsid w:val="007F46DD"/>
    <w:rsid w:val="007F63EE"/>
    <w:rsid w:val="007F7A25"/>
    <w:rsid w:val="008000B8"/>
    <w:rsid w:val="00800FF4"/>
    <w:rsid w:val="00801B9E"/>
    <w:rsid w:val="00802FD1"/>
    <w:rsid w:val="00803DB4"/>
    <w:rsid w:val="008045C8"/>
    <w:rsid w:val="0080486C"/>
    <w:rsid w:val="00804B8C"/>
    <w:rsid w:val="008055D5"/>
    <w:rsid w:val="00805E4D"/>
    <w:rsid w:val="008065D7"/>
    <w:rsid w:val="00807BEB"/>
    <w:rsid w:val="008100C6"/>
    <w:rsid w:val="008103D1"/>
    <w:rsid w:val="00810AB9"/>
    <w:rsid w:val="00813008"/>
    <w:rsid w:val="008141AE"/>
    <w:rsid w:val="008150E6"/>
    <w:rsid w:val="00815C43"/>
    <w:rsid w:val="0081615E"/>
    <w:rsid w:val="00816BF2"/>
    <w:rsid w:val="008205DB"/>
    <w:rsid w:val="008221AE"/>
    <w:rsid w:val="00822F80"/>
    <w:rsid w:val="008236E0"/>
    <w:rsid w:val="00823811"/>
    <w:rsid w:val="00823BEF"/>
    <w:rsid w:val="0082515B"/>
    <w:rsid w:val="00826B0E"/>
    <w:rsid w:val="00827359"/>
    <w:rsid w:val="00827B6B"/>
    <w:rsid w:val="00827F31"/>
    <w:rsid w:val="00830192"/>
    <w:rsid w:val="00831367"/>
    <w:rsid w:val="00832408"/>
    <w:rsid w:val="00832DCA"/>
    <w:rsid w:val="00833A10"/>
    <w:rsid w:val="00835B59"/>
    <w:rsid w:val="00836BFF"/>
    <w:rsid w:val="00836EE5"/>
    <w:rsid w:val="00837163"/>
    <w:rsid w:val="008371A1"/>
    <w:rsid w:val="00837B2B"/>
    <w:rsid w:val="00837BE8"/>
    <w:rsid w:val="00837CFF"/>
    <w:rsid w:val="00837E2B"/>
    <w:rsid w:val="0084001B"/>
    <w:rsid w:val="0084119B"/>
    <w:rsid w:val="00841C96"/>
    <w:rsid w:val="00844773"/>
    <w:rsid w:val="008464A0"/>
    <w:rsid w:val="00847338"/>
    <w:rsid w:val="00851850"/>
    <w:rsid w:val="0085673E"/>
    <w:rsid w:val="008567BC"/>
    <w:rsid w:val="008569BD"/>
    <w:rsid w:val="00857E4E"/>
    <w:rsid w:val="008618A5"/>
    <w:rsid w:val="00861B96"/>
    <w:rsid w:val="00862E60"/>
    <w:rsid w:val="008631EB"/>
    <w:rsid w:val="0086342D"/>
    <w:rsid w:val="0086674B"/>
    <w:rsid w:val="00867EAC"/>
    <w:rsid w:val="00870B62"/>
    <w:rsid w:val="0087357D"/>
    <w:rsid w:val="0087511A"/>
    <w:rsid w:val="00877217"/>
    <w:rsid w:val="0087744E"/>
    <w:rsid w:val="00882E9F"/>
    <w:rsid w:val="00884445"/>
    <w:rsid w:val="00884A26"/>
    <w:rsid w:val="00885E1C"/>
    <w:rsid w:val="00886329"/>
    <w:rsid w:val="00886686"/>
    <w:rsid w:val="00886878"/>
    <w:rsid w:val="008904A7"/>
    <w:rsid w:val="00892B37"/>
    <w:rsid w:val="00895051"/>
    <w:rsid w:val="00895163"/>
    <w:rsid w:val="008961F4"/>
    <w:rsid w:val="0089678B"/>
    <w:rsid w:val="008A0653"/>
    <w:rsid w:val="008A069D"/>
    <w:rsid w:val="008A2B07"/>
    <w:rsid w:val="008A4660"/>
    <w:rsid w:val="008A500B"/>
    <w:rsid w:val="008A632C"/>
    <w:rsid w:val="008A73B2"/>
    <w:rsid w:val="008A7D8A"/>
    <w:rsid w:val="008B14C8"/>
    <w:rsid w:val="008B1A6D"/>
    <w:rsid w:val="008B236E"/>
    <w:rsid w:val="008B2C2B"/>
    <w:rsid w:val="008B4065"/>
    <w:rsid w:val="008B52C7"/>
    <w:rsid w:val="008B557D"/>
    <w:rsid w:val="008B5E63"/>
    <w:rsid w:val="008B6D53"/>
    <w:rsid w:val="008C03DF"/>
    <w:rsid w:val="008C1DF6"/>
    <w:rsid w:val="008C1FED"/>
    <w:rsid w:val="008C4658"/>
    <w:rsid w:val="008C5448"/>
    <w:rsid w:val="008C55DA"/>
    <w:rsid w:val="008C645A"/>
    <w:rsid w:val="008D0A27"/>
    <w:rsid w:val="008D0FA7"/>
    <w:rsid w:val="008D289C"/>
    <w:rsid w:val="008D3406"/>
    <w:rsid w:val="008D57FB"/>
    <w:rsid w:val="008D5A4B"/>
    <w:rsid w:val="008D5A90"/>
    <w:rsid w:val="008D5D68"/>
    <w:rsid w:val="008D741E"/>
    <w:rsid w:val="008D7487"/>
    <w:rsid w:val="008E06DF"/>
    <w:rsid w:val="008E0EBC"/>
    <w:rsid w:val="008E13DA"/>
    <w:rsid w:val="008E2816"/>
    <w:rsid w:val="008E4072"/>
    <w:rsid w:val="008E4EB8"/>
    <w:rsid w:val="008E5055"/>
    <w:rsid w:val="008E7066"/>
    <w:rsid w:val="008E77D5"/>
    <w:rsid w:val="008F2760"/>
    <w:rsid w:val="008F7CAD"/>
    <w:rsid w:val="008F7EBC"/>
    <w:rsid w:val="009016FD"/>
    <w:rsid w:val="0090197E"/>
    <w:rsid w:val="00901B8B"/>
    <w:rsid w:val="0090350D"/>
    <w:rsid w:val="00904213"/>
    <w:rsid w:val="00904513"/>
    <w:rsid w:val="0090456C"/>
    <w:rsid w:val="00904AA7"/>
    <w:rsid w:val="00907311"/>
    <w:rsid w:val="00907857"/>
    <w:rsid w:val="00910122"/>
    <w:rsid w:val="0091051F"/>
    <w:rsid w:val="00911A99"/>
    <w:rsid w:val="0091203D"/>
    <w:rsid w:val="00912CAA"/>
    <w:rsid w:val="00913F35"/>
    <w:rsid w:val="00914133"/>
    <w:rsid w:val="00914B29"/>
    <w:rsid w:val="009154D0"/>
    <w:rsid w:val="00915C63"/>
    <w:rsid w:val="00917F2F"/>
    <w:rsid w:val="009202EA"/>
    <w:rsid w:val="009215EC"/>
    <w:rsid w:val="00921B8E"/>
    <w:rsid w:val="009222D5"/>
    <w:rsid w:val="0092292C"/>
    <w:rsid w:val="009229F3"/>
    <w:rsid w:val="0092350E"/>
    <w:rsid w:val="00925366"/>
    <w:rsid w:val="009255D5"/>
    <w:rsid w:val="0093023C"/>
    <w:rsid w:val="00930586"/>
    <w:rsid w:val="00930C0F"/>
    <w:rsid w:val="00931C09"/>
    <w:rsid w:val="009330D1"/>
    <w:rsid w:val="00934E7B"/>
    <w:rsid w:val="00936AD8"/>
    <w:rsid w:val="00936F6B"/>
    <w:rsid w:val="009371D8"/>
    <w:rsid w:val="00940346"/>
    <w:rsid w:val="0094053A"/>
    <w:rsid w:val="00940901"/>
    <w:rsid w:val="00940BF6"/>
    <w:rsid w:val="00941489"/>
    <w:rsid w:val="009425B4"/>
    <w:rsid w:val="00943C3A"/>
    <w:rsid w:val="00944C2B"/>
    <w:rsid w:val="00944F7F"/>
    <w:rsid w:val="00945754"/>
    <w:rsid w:val="009503F0"/>
    <w:rsid w:val="0095196D"/>
    <w:rsid w:val="0095289C"/>
    <w:rsid w:val="00953137"/>
    <w:rsid w:val="009532DD"/>
    <w:rsid w:val="00953653"/>
    <w:rsid w:val="00953924"/>
    <w:rsid w:val="0095589E"/>
    <w:rsid w:val="009564C9"/>
    <w:rsid w:val="009638EE"/>
    <w:rsid w:val="00963E2B"/>
    <w:rsid w:val="0096517B"/>
    <w:rsid w:val="0096556B"/>
    <w:rsid w:val="00966F40"/>
    <w:rsid w:val="009700F4"/>
    <w:rsid w:val="00970CA1"/>
    <w:rsid w:val="00971CB8"/>
    <w:rsid w:val="00972E68"/>
    <w:rsid w:val="0097336F"/>
    <w:rsid w:val="00973EF1"/>
    <w:rsid w:val="009744A9"/>
    <w:rsid w:val="009745FC"/>
    <w:rsid w:val="00975903"/>
    <w:rsid w:val="00976EC5"/>
    <w:rsid w:val="00980021"/>
    <w:rsid w:val="00980796"/>
    <w:rsid w:val="00980F2D"/>
    <w:rsid w:val="00981E9A"/>
    <w:rsid w:val="00982BAD"/>
    <w:rsid w:val="00984432"/>
    <w:rsid w:val="009851DE"/>
    <w:rsid w:val="009855ED"/>
    <w:rsid w:val="00986ABC"/>
    <w:rsid w:val="00987F35"/>
    <w:rsid w:val="00990482"/>
    <w:rsid w:val="00990668"/>
    <w:rsid w:val="009907A2"/>
    <w:rsid w:val="00990940"/>
    <w:rsid w:val="00990BD9"/>
    <w:rsid w:val="00990C2F"/>
    <w:rsid w:val="00990FB1"/>
    <w:rsid w:val="00992226"/>
    <w:rsid w:val="00992D59"/>
    <w:rsid w:val="0099304B"/>
    <w:rsid w:val="0099352D"/>
    <w:rsid w:val="00993C42"/>
    <w:rsid w:val="00995142"/>
    <w:rsid w:val="009955E9"/>
    <w:rsid w:val="009958C3"/>
    <w:rsid w:val="00995CBE"/>
    <w:rsid w:val="009968CC"/>
    <w:rsid w:val="00997F75"/>
    <w:rsid w:val="009A0054"/>
    <w:rsid w:val="009A044B"/>
    <w:rsid w:val="009A4777"/>
    <w:rsid w:val="009A521D"/>
    <w:rsid w:val="009A609A"/>
    <w:rsid w:val="009A66B6"/>
    <w:rsid w:val="009A7093"/>
    <w:rsid w:val="009A7A92"/>
    <w:rsid w:val="009A7C20"/>
    <w:rsid w:val="009B173E"/>
    <w:rsid w:val="009B1929"/>
    <w:rsid w:val="009B58A3"/>
    <w:rsid w:val="009B7109"/>
    <w:rsid w:val="009B72E4"/>
    <w:rsid w:val="009B744A"/>
    <w:rsid w:val="009C004F"/>
    <w:rsid w:val="009C06AB"/>
    <w:rsid w:val="009C2875"/>
    <w:rsid w:val="009C3FA1"/>
    <w:rsid w:val="009C4024"/>
    <w:rsid w:val="009C4142"/>
    <w:rsid w:val="009C4501"/>
    <w:rsid w:val="009C45C1"/>
    <w:rsid w:val="009C4CDD"/>
    <w:rsid w:val="009C53D6"/>
    <w:rsid w:val="009C60C0"/>
    <w:rsid w:val="009C7F04"/>
    <w:rsid w:val="009D1288"/>
    <w:rsid w:val="009D1492"/>
    <w:rsid w:val="009D197F"/>
    <w:rsid w:val="009D1AB2"/>
    <w:rsid w:val="009D2596"/>
    <w:rsid w:val="009D3E9A"/>
    <w:rsid w:val="009D5CCF"/>
    <w:rsid w:val="009D6B3F"/>
    <w:rsid w:val="009D6E08"/>
    <w:rsid w:val="009E0FC6"/>
    <w:rsid w:val="009E10BB"/>
    <w:rsid w:val="009E154F"/>
    <w:rsid w:val="009E2154"/>
    <w:rsid w:val="009E287B"/>
    <w:rsid w:val="009E4322"/>
    <w:rsid w:val="009E5298"/>
    <w:rsid w:val="009E6930"/>
    <w:rsid w:val="009E75A6"/>
    <w:rsid w:val="009F0703"/>
    <w:rsid w:val="009F0CCF"/>
    <w:rsid w:val="009F1B94"/>
    <w:rsid w:val="009F23D6"/>
    <w:rsid w:val="009F3109"/>
    <w:rsid w:val="009F46F6"/>
    <w:rsid w:val="009F4A23"/>
    <w:rsid w:val="009F53E4"/>
    <w:rsid w:val="009F578B"/>
    <w:rsid w:val="009F6E4A"/>
    <w:rsid w:val="009F7462"/>
    <w:rsid w:val="00A00836"/>
    <w:rsid w:val="00A00B5A"/>
    <w:rsid w:val="00A00E95"/>
    <w:rsid w:val="00A01347"/>
    <w:rsid w:val="00A032C4"/>
    <w:rsid w:val="00A038A0"/>
    <w:rsid w:val="00A0396E"/>
    <w:rsid w:val="00A04FB6"/>
    <w:rsid w:val="00A057AC"/>
    <w:rsid w:val="00A07155"/>
    <w:rsid w:val="00A07A82"/>
    <w:rsid w:val="00A103CC"/>
    <w:rsid w:val="00A1042E"/>
    <w:rsid w:val="00A12996"/>
    <w:rsid w:val="00A15622"/>
    <w:rsid w:val="00A15813"/>
    <w:rsid w:val="00A16AFC"/>
    <w:rsid w:val="00A17EB3"/>
    <w:rsid w:val="00A21569"/>
    <w:rsid w:val="00A21978"/>
    <w:rsid w:val="00A236C4"/>
    <w:rsid w:val="00A24085"/>
    <w:rsid w:val="00A2408A"/>
    <w:rsid w:val="00A2459B"/>
    <w:rsid w:val="00A27834"/>
    <w:rsid w:val="00A27931"/>
    <w:rsid w:val="00A27F90"/>
    <w:rsid w:val="00A30E14"/>
    <w:rsid w:val="00A313F8"/>
    <w:rsid w:val="00A3232D"/>
    <w:rsid w:val="00A32372"/>
    <w:rsid w:val="00A33A67"/>
    <w:rsid w:val="00A34741"/>
    <w:rsid w:val="00A353C8"/>
    <w:rsid w:val="00A3735E"/>
    <w:rsid w:val="00A3784C"/>
    <w:rsid w:val="00A41E14"/>
    <w:rsid w:val="00A42053"/>
    <w:rsid w:val="00A4360A"/>
    <w:rsid w:val="00A45113"/>
    <w:rsid w:val="00A45C7A"/>
    <w:rsid w:val="00A46492"/>
    <w:rsid w:val="00A476A5"/>
    <w:rsid w:val="00A47D2E"/>
    <w:rsid w:val="00A50154"/>
    <w:rsid w:val="00A528E9"/>
    <w:rsid w:val="00A55933"/>
    <w:rsid w:val="00A55C9A"/>
    <w:rsid w:val="00A60544"/>
    <w:rsid w:val="00A61A6D"/>
    <w:rsid w:val="00A61F80"/>
    <w:rsid w:val="00A62FF7"/>
    <w:rsid w:val="00A64D52"/>
    <w:rsid w:val="00A64DFB"/>
    <w:rsid w:val="00A65F90"/>
    <w:rsid w:val="00A6600D"/>
    <w:rsid w:val="00A73C20"/>
    <w:rsid w:val="00A743CE"/>
    <w:rsid w:val="00A75421"/>
    <w:rsid w:val="00A75956"/>
    <w:rsid w:val="00A76C29"/>
    <w:rsid w:val="00A77196"/>
    <w:rsid w:val="00A77827"/>
    <w:rsid w:val="00A77C6F"/>
    <w:rsid w:val="00A80984"/>
    <w:rsid w:val="00A81357"/>
    <w:rsid w:val="00A82865"/>
    <w:rsid w:val="00A8304C"/>
    <w:rsid w:val="00A8385D"/>
    <w:rsid w:val="00A83C2C"/>
    <w:rsid w:val="00A83F49"/>
    <w:rsid w:val="00A84DEC"/>
    <w:rsid w:val="00A85A9D"/>
    <w:rsid w:val="00A867BD"/>
    <w:rsid w:val="00A86B8D"/>
    <w:rsid w:val="00A9052F"/>
    <w:rsid w:val="00A908D6"/>
    <w:rsid w:val="00A90B2B"/>
    <w:rsid w:val="00A91934"/>
    <w:rsid w:val="00A92490"/>
    <w:rsid w:val="00A931DA"/>
    <w:rsid w:val="00A93322"/>
    <w:rsid w:val="00A93410"/>
    <w:rsid w:val="00A9396B"/>
    <w:rsid w:val="00A942C8"/>
    <w:rsid w:val="00A955BD"/>
    <w:rsid w:val="00A956F3"/>
    <w:rsid w:val="00A96C8C"/>
    <w:rsid w:val="00A97E59"/>
    <w:rsid w:val="00AA072B"/>
    <w:rsid w:val="00AA0BF5"/>
    <w:rsid w:val="00AA22C6"/>
    <w:rsid w:val="00AA245E"/>
    <w:rsid w:val="00AA2587"/>
    <w:rsid w:val="00AA38A0"/>
    <w:rsid w:val="00AA3915"/>
    <w:rsid w:val="00AA403E"/>
    <w:rsid w:val="00AA5AFA"/>
    <w:rsid w:val="00AA5F17"/>
    <w:rsid w:val="00AA646E"/>
    <w:rsid w:val="00AA65D9"/>
    <w:rsid w:val="00AA73F6"/>
    <w:rsid w:val="00AB1C6A"/>
    <w:rsid w:val="00AB30D9"/>
    <w:rsid w:val="00AB4A58"/>
    <w:rsid w:val="00AB5205"/>
    <w:rsid w:val="00AB6360"/>
    <w:rsid w:val="00AB64CA"/>
    <w:rsid w:val="00AB76B8"/>
    <w:rsid w:val="00AB7CE8"/>
    <w:rsid w:val="00AB7FC2"/>
    <w:rsid w:val="00AC087E"/>
    <w:rsid w:val="00AC0D56"/>
    <w:rsid w:val="00AC0D7F"/>
    <w:rsid w:val="00AC39A1"/>
    <w:rsid w:val="00AC401A"/>
    <w:rsid w:val="00AC4A32"/>
    <w:rsid w:val="00AC70E3"/>
    <w:rsid w:val="00AC70F6"/>
    <w:rsid w:val="00AC71DE"/>
    <w:rsid w:val="00AC7E91"/>
    <w:rsid w:val="00AD15DE"/>
    <w:rsid w:val="00AD354B"/>
    <w:rsid w:val="00AD419E"/>
    <w:rsid w:val="00AD4432"/>
    <w:rsid w:val="00AD4BD9"/>
    <w:rsid w:val="00AE089F"/>
    <w:rsid w:val="00AE443A"/>
    <w:rsid w:val="00AE7042"/>
    <w:rsid w:val="00AE74BB"/>
    <w:rsid w:val="00AE7887"/>
    <w:rsid w:val="00AF084E"/>
    <w:rsid w:val="00AF26D9"/>
    <w:rsid w:val="00AF4CFB"/>
    <w:rsid w:val="00AF4D45"/>
    <w:rsid w:val="00AF62CA"/>
    <w:rsid w:val="00AF6527"/>
    <w:rsid w:val="00AF70A2"/>
    <w:rsid w:val="00AF77BD"/>
    <w:rsid w:val="00B00275"/>
    <w:rsid w:val="00B021EE"/>
    <w:rsid w:val="00B0226E"/>
    <w:rsid w:val="00B026BC"/>
    <w:rsid w:val="00B02778"/>
    <w:rsid w:val="00B034E9"/>
    <w:rsid w:val="00B04473"/>
    <w:rsid w:val="00B04A6E"/>
    <w:rsid w:val="00B0665C"/>
    <w:rsid w:val="00B06932"/>
    <w:rsid w:val="00B072DC"/>
    <w:rsid w:val="00B07F06"/>
    <w:rsid w:val="00B1037B"/>
    <w:rsid w:val="00B11D2A"/>
    <w:rsid w:val="00B1239B"/>
    <w:rsid w:val="00B124CB"/>
    <w:rsid w:val="00B13663"/>
    <w:rsid w:val="00B1390B"/>
    <w:rsid w:val="00B16261"/>
    <w:rsid w:val="00B16764"/>
    <w:rsid w:val="00B219D7"/>
    <w:rsid w:val="00B2332F"/>
    <w:rsid w:val="00B2378A"/>
    <w:rsid w:val="00B248C7"/>
    <w:rsid w:val="00B263B2"/>
    <w:rsid w:val="00B26D20"/>
    <w:rsid w:val="00B30EFC"/>
    <w:rsid w:val="00B3240F"/>
    <w:rsid w:val="00B33A05"/>
    <w:rsid w:val="00B3501C"/>
    <w:rsid w:val="00B36703"/>
    <w:rsid w:val="00B36918"/>
    <w:rsid w:val="00B36B16"/>
    <w:rsid w:val="00B36FDD"/>
    <w:rsid w:val="00B37606"/>
    <w:rsid w:val="00B37A8A"/>
    <w:rsid w:val="00B42081"/>
    <w:rsid w:val="00B42C70"/>
    <w:rsid w:val="00B43C81"/>
    <w:rsid w:val="00B44874"/>
    <w:rsid w:val="00B46C99"/>
    <w:rsid w:val="00B4702F"/>
    <w:rsid w:val="00B50230"/>
    <w:rsid w:val="00B510BE"/>
    <w:rsid w:val="00B513F7"/>
    <w:rsid w:val="00B51B26"/>
    <w:rsid w:val="00B52F53"/>
    <w:rsid w:val="00B54C0F"/>
    <w:rsid w:val="00B555C4"/>
    <w:rsid w:val="00B5583E"/>
    <w:rsid w:val="00B613CA"/>
    <w:rsid w:val="00B61F09"/>
    <w:rsid w:val="00B63594"/>
    <w:rsid w:val="00B635D2"/>
    <w:rsid w:val="00B65026"/>
    <w:rsid w:val="00B663CD"/>
    <w:rsid w:val="00B70364"/>
    <w:rsid w:val="00B703C5"/>
    <w:rsid w:val="00B71169"/>
    <w:rsid w:val="00B717FB"/>
    <w:rsid w:val="00B72D40"/>
    <w:rsid w:val="00B73377"/>
    <w:rsid w:val="00B73A18"/>
    <w:rsid w:val="00B73A4E"/>
    <w:rsid w:val="00B73A88"/>
    <w:rsid w:val="00B746F2"/>
    <w:rsid w:val="00B74E2C"/>
    <w:rsid w:val="00B76FF0"/>
    <w:rsid w:val="00B7778D"/>
    <w:rsid w:val="00B81BBD"/>
    <w:rsid w:val="00B839FA"/>
    <w:rsid w:val="00B83CC2"/>
    <w:rsid w:val="00B844C1"/>
    <w:rsid w:val="00B84FB8"/>
    <w:rsid w:val="00B85A92"/>
    <w:rsid w:val="00B86B06"/>
    <w:rsid w:val="00B87B2F"/>
    <w:rsid w:val="00B9200F"/>
    <w:rsid w:val="00B9386A"/>
    <w:rsid w:val="00B95A41"/>
    <w:rsid w:val="00B96A71"/>
    <w:rsid w:val="00B9748C"/>
    <w:rsid w:val="00BA1645"/>
    <w:rsid w:val="00BA183D"/>
    <w:rsid w:val="00BA1851"/>
    <w:rsid w:val="00BA1D55"/>
    <w:rsid w:val="00BA2982"/>
    <w:rsid w:val="00BA5DE0"/>
    <w:rsid w:val="00BA5F2F"/>
    <w:rsid w:val="00BA64DD"/>
    <w:rsid w:val="00BA7D86"/>
    <w:rsid w:val="00BB1DC1"/>
    <w:rsid w:val="00BB3057"/>
    <w:rsid w:val="00BB448D"/>
    <w:rsid w:val="00BB4F8B"/>
    <w:rsid w:val="00BB538E"/>
    <w:rsid w:val="00BB581B"/>
    <w:rsid w:val="00BB614E"/>
    <w:rsid w:val="00BB6C96"/>
    <w:rsid w:val="00BB7D2A"/>
    <w:rsid w:val="00BC0650"/>
    <w:rsid w:val="00BC0820"/>
    <w:rsid w:val="00BC12A5"/>
    <w:rsid w:val="00BC1D77"/>
    <w:rsid w:val="00BC201E"/>
    <w:rsid w:val="00BC277E"/>
    <w:rsid w:val="00BC5210"/>
    <w:rsid w:val="00BC5F92"/>
    <w:rsid w:val="00BC763E"/>
    <w:rsid w:val="00BD1465"/>
    <w:rsid w:val="00BD1E58"/>
    <w:rsid w:val="00BD28BA"/>
    <w:rsid w:val="00BD35CC"/>
    <w:rsid w:val="00BD3F67"/>
    <w:rsid w:val="00BD3F71"/>
    <w:rsid w:val="00BD4B0E"/>
    <w:rsid w:val="00BD6BB8"/>
    <w:rsid w:val="00BD735F"/>
    <w:rsid w:val="00BD756E"/>
    <w:rsid w:val="00BE1D60"/>
    <w:rsid w:val="00BE342F"/>
    <w:rsid w:val="00BE4AB3"/>
    <w:rsid w:val="00BE4F79"/>
    <w:rsid w:val="00BE632F"/>
    <w:rsid w:val="00BE65FA"/>
    <w:rsid w:val="00BE7213"/>
    <w:rsid w:val="00BE7322"/>
    <w:rsid w:val="00BE7BBC"/>
    <w:rsid w:val="00BF309D"/>
    <w:rsid w:val="00BF42B1"/>
    <w:rsid w:val="00BF623E"/>
    <w:rsid w:val="00C00DBF"/>
    <w:rsid w:val="00C015BF"/>
    <w:rsid w:val="00C023B8"/>
    <w:rsid w:val="00C03A18"/>
    <w:rsid w:val="00C03D80"/>
    <w:rsid w:val="00C05474"/>
    <w:rsid w:val="00C05E85"/>
    <w:rsid w:val="00C06EB4"/>
    <w:rsid w:val="00C06FBF"/>
    <w:rsid w:val="00C073DC"/>
    <w:rsid w:val="00C07C55"/>
    <w:rsid w:val="00C10264"/>
    <w:rsid w:val="00C10EEB"/>
    <w:rsid w:val="00C12515"/>
    <w:rsid w:val="00C13CBA"/>
    <w:rsid w:val="00C156A8"/>
    <w:rsid w:val="00C156EB"/>
    <w:rsid w:val="00C24B40"/>
    <w:rsid w:val="00C24C55"/>
    <w:rsid w:val="00C2529F"/>
    <w:rsid w:val="00C2599A"/>
    <w:rsid w:val="00C25A3A"/>
    <w:rsid w:val="00C26B6B"/>
    <w:rsid w:val="00C279FB"/>
    <w:rsid w:val="00C318FC"/>
    <w:rsid w:val="00C32EDF"/>
    <w:rsid w:val="00C33D4E"/>
    <w:rsid w:val="00C3408A"/>
    <w:rsid w:val="00C365BD"/>
    <w:rsid w:val="00C409DB"/>
    <w:rsid w:val="00C414F5"/>
    <w:rsid w:val="00C41509"/>
    <w:rsid w:val="00C43994"/>
    <w:rsid w:val="00C46725"/>
    <w:rsid w:val="00C5114E"/>
    <w:rsid w:val="00C51552"/>
    <w:rsid w:val="00C51575"/>
    <w:rsid w:val="00C519F6"/>
    <w:rsid w:val="00C54B93"/>
    <w:rsid w:val="00C54F6A"/>
    <w:rsid w:val="00C552B0"/>
    <w:rsid w:val="00C60025"/>
    <w:rsid w:val="00C603B3"/>
    <w:rsid w:val="00C6160C"/>
    <w:rsid w:val="00C61D5F"/>
    <w:rsid w:val="00C62422"/>
    <w:rsid w:val="00C635F1"/>
    <w:rsid w:val="00C66755"/>
    <w:rsid w:val="00C66843"/>
    <w:rsid w:val="00C701AB"/>
    <w:rsid w:val="00C70325"/>
    <w:rsid w:val="00C71A0B"/>
    <w:rsid w:val="00C72378"/>
    <w:rsid w:val="00C74831"/>
    <w:rsid w:val="00C769FC"/>
    <w:rsid w:val="00C7738C"/>
    <w:rsid w:val="00C824E7"/>
    <w:rsid w:val="00C8288F"/>
    <w:rsid w:val="00C83819"/>
    <w:rsid w:val="00C8387D"/>
    <w:rsid w:val="00C84647"/>
    <w:rsid w:val="00C85465"/>
    <w:rsid w:val="00C8571B"/>
    <w:rsid w:val="00C8578C"/>
    <w:rsid w:val="00C86C00"/>
    <w:rsid w:val="00C877B5"/>
    <w:rsid w:val="00C90ADA"/>
    <w:rsid w:val="00C90C39"/>
    <w:rsid w:val="00C90E59"/>
    <w:rsid w:val="00C9254C"/>
    <w:rsid w:val="00C937CC"/>
    <w:rsid w:val="00C93B4D"/>
    <w:rsid w:val="00C94D2E"/>
    <w:rsid w:val="00C956B2"/>
    <w:rsid w:val="00C9648D"/>
    <w:rsid w:val="00C9779C"/>
    <w:rsid w:val="00CA05F6"/>
    <w:rsid w:val="00CA2532"/>
    <w:rsid w:val="00CA3298"/>
    <w:rsid w:val="00CA5DE4"/>
    <w:rsid w:val="00CA638A"/>
    <w:rsid w:val="00CA687E"/>
    <w:rsid w:val="00CB085F"/>
    <w:rsid w:val="00CB0906"/>
    <w:rsid w:val="00CB1A61"/>
    <w:rsid w:val="00CB2F06"/>
    <w:rsid w:val="00CB474F"/>
    <w:rsid w:val="00CB5A03"/>
    <w:rsid w:val="00CB68EC"/>
    <w:rsid w:val="00CB6F6B"/>
    <w:rsid w:val="00CC1B0E"/>
    <w:rsid w:val="00CC2FCC"/>
    <w:rsid w:val="00CC3A5C"/>
    <w:rsid w:val="00CC4A08"/>
    <w:rsid w:val="00CC4B60"/>
    <w:rsid w:val="00CC4D78"/>
    <w:rsid w:val="00CC5496"/>
    <w:rsid w:val="00CC5DFF"/>
    <w:rsid w:val="00CC65E3"/>
    <w:rsid w:val="00CC670E"/>
    <w:rsid w:val="00CC6E21"/>
    <w:rsid w:val="00CC6F27"/>
    <w:rsid w:val="00CD1443"/>
    <w:rsid w:val="00CD2CEA"/>
    <w:rsid w:val="00CD346D"/>
    <w:rsid w:val="00CD361C"/>
    <w:rsid w:val="00CD55DD"/>
    <w:rsid w:val="00CD5B06"/>
    <w:rsid w:val="00CD60D4"/>
    <w:rsid w:val="00CE0231"/>
    <w:rsid w:val="00CE0AD2"/>
    <w:rsid w:val="00CE0F7D"/>
    <w:rsid w:val="00CE247A"/>
    <w:rsid w:val="00CE2602"/>
    <w:rsid w:val="00CE29B9"/>
    <w:rsid w:val="00CE2E45"/>
    <w:rsid w:val="00CE431E"/>
    <w:rsid w:val="00CE5BAB"/>
    <w:rsid w:val="00CE5FA3"/>
    <w:rsid w:val="00CE775E"/>
    <w:rsid w:val="00CF02A3"/>
    <w:rsid w:val="00CF032F"/>
    <w:rsid w:val="00CF080E"/>
    <w:rsid w:val="00CF0E1F"/>
    <w:rsid w:val="00CF0F67"/>
    <w:rsid w:val="00CF1DD7"/>
    <w:rsid w:val="00CF4943"/>
    <w:rsid w:val="00CF6A8E"/>
    <w:rsid w:val="00D00B02"/>
    <w:rsid w:val="00D01C7E"/>
    <w:rsid w:val="00D02667"/>
    <w:rsid w:val="00D041A0"/>
    <w:rsid w:val="00D04D3E"/>
    <w:rsid w:val="00D04E25"/>
    <w:rsid w:val="00D070B0"/>
    <w:rsid w:val="00D0771E"/>
    <w:rsid w:val="00D11A0A"/>
    <w:rsid w:val="00D123AB"/>
    <w:rsid w:val="00D14F1E"/>
    <w:rsid w:val="00D15010"/>
    <w:rsid w:val="00D151F8"/>
    <w:rsid w:val="00D155B0"/>
    <w:rsid w:val="00D15AB0"/>
    <w:rsid w:val="00D16AD8"/>
    <w:rsid w:val="00D17D51"/>
    <w:rsid w:val="00D204B0"/>
    <w:rsid w:val="00D21329"/>
    <w:rsid w:val="00D214C2"/>
    <w:rsid w:val="00D218FA"/>
    <w:rsid w:val="00D24115"/>
    <w:rsid w:val="00D24A25"/>
    <w:rsid w:val="00D255A7"/>
    <w:rsid w:val="00D27347"/>
    <w:rsid w:val="00D27665"/>
    <w:rsid w:val="00D27C4A"/>
    <w:rsid w:val="00D30014"/>
    <w:rsid w:val="00D30625"/>
    <w:rsid w:val="00D32159"/>
    <w:rsid w:val="00D342D8"/>
    <w:rsid w:val="00D360CD"/>
    <w:rsid w:val="00D3696D"/>
    <w:rsid w:val="00D37533"/>
    <w:rsid w:val="00D37F3A"/>
    <w:rsid w:val="00D40591"/>
    <w:rsid w:val="00D410AA"/>
    <w:rsid w:val="00D413F2"/>
    <w:rsid w:val="00D4158A"/>
    <w:rsid w:val="00D41BCC"/>
    <w:rsid w:val="00D41FC4"/>
    <w:rsid w:val="00D42400"/>
    <w:rsid w:val="00D43871"/>
    <w:rsid w:val="00D4588E"/>
    <w:rsid w:val="00D458AF"/>
    <w:rsid w:val="00D45C43"/>
    <w:rsid w:val="00D45EA0"/>
    <w:rsid w:val="00D45F6A"/>
    <w:rsid w:val="00D4646A"/>
    <w:rsid w:val="00D478FA"/>
    <w:rsid w:val="00D47A7A"/>
    <w:rsid w:val="00D47D71"/>
    <w:rsid w:val="00D52C5D"/>
    <w:rsid w:val="00D535DD"/>
    <w:rsid w:val="00D541E7"/>
    <w:rsid w:val="00D547FF"/>
    <w:rsid w:val="00D5610C"/>
    <w:rsid w:val="00D5727C"/>
    <w:rsid w:val="00D57A63"/>
    <w:rsid w:val="00D60640"/>
    <w:rsid w:val="00D61EDF"/>
    <w:rsid w:val="00D62CDE"/>
    <w:rsid w:val="00D648C2"/>
    <w:rsid w:val="00D64B6F"/>
    <w:rsid w:val="00D650C8"/>
    <w:rsid w:val="00D652AE"/>
    <w:rsid w:val="00D65DF4"/>
    <w:rsid w:val="00D6602E"/>
    <w:rsid w:val="00D6624B"/>
    <w:rsid w:val="00D6711E"/>
    <w:rsid w:val="00D67FB3"/>
    <w:rsid w:val="00D722DD"/>
    <w:rsid w:val="00D72552"/>
    <w:rsid w:val="00D735CA"/>
    <w:rsid w:val="00D742AF"/>
    <w:rsid w:val="00D74372"/>
    <w:rsid w:val="00D761DC"/>
    <w:rsid w:val="00D7644C"/>
    <w:rsid w:val="00D776B2"/>
    <w:rsid w:val="00D81596"/>
    <w:rsid w:val="00D82E2B"/>
    <w:rsid w:val="00D8440F"/>
    <w:rsid w:val="00D856A0"/>
    <w:rsid w:val="00D85E25"/>
    <w:rsid w:val="00D873EC"/>
    <w:rsid w:val="00D90A33"/>
    <w:rsid w:val="00D90DDC"/>
    <w:rsid w:val="00D90F22"/>
    <w:rsid w:val="00D9115C"/>
    <w:rsid w:val="00D9307B"/>
    <w:rsid w:val="00D937E3"/>
    <w:rsid w:val="00D950C5"/>
    <w:rsid w:val="00D95A4D"/>
    <w:rsid w:val="00D96AEF"/>
    <w:rsid w:val="00DA04F6"/>
    <w:rsid w:val="00DA41F6"/>
    <w:rsid w:val="00DA4C34"/>
    <w:rsid w:val="00DA506A"/>
    <w:rsid w:val="00DA5A90"/>
    <w:rsid w:val="00DA5F92"/>
    <w:rsid w:val="00DA6BD2"/>
    <w:rsid w:val="00DB0049"/>
    <w:rsid w:val="00DB2AF8"/>
    <w:rsid w:val="00DB3BBB"/>
    <w:rsid w:val="00DB3F8C"/>
    <w:rsid w:val="00DB4523"/>
    <w:rsid w:val="00DB49A6"/>
    <w:rsid w:val="00DB4DBD"/>
    <w:rsid w:val="00DC1682"/>
    <w:rsid w:val="00DC27DC"/>
    <w:rsid w:val="00DC36C2"/>
    <w:rsid w:val="00DC3860"/>
    <w:rsid w:val="00DC5306"/>
    <w:rsid w:val="00DC559D"/>
    <w:rsid w:val="00DC7F5B"/>
    <w:rsid w:val="00DD0A5C"/>
    <w:rsid w:val="00DD1FAA"/>
    <w:rsid w:val="00DD2184"/>
    <w:rsid w:val="00DD42D3"/>
    <w:rsid w:val="00DD51CA"/>
    <w:rsid w:val="00DD5671"/>
    <w:rsid w:val="00DD59F3"/>
    <w:rsid w:val="00DD620A"/>
    <w:rsid w:val="00DE0CB9"/>
    <w:rsid w:val="00DE29CA"/>
    <w:rsid w:val="00DE2A9E"/>
    <w:rsid w:val="00DE4197"/>
    <w:rsid w:val="00DE42B3"/>
    <w:rsid w:val="00DE6663"/>
    <w:rsid w:val="00DE713C"/>
    <w:rsid w:val="00DE7819"/>
    <w:rsid w:val="00DF0EDA"/>
    <w:rsid w:val="00DF2389"/>
    <w:rsid w:val="00DF245F"/>
    <w:rsid w:val="00DF2913"/>
    <w:rsid w:val="00DF3FD0"/>
    <w:rsid w:val="00DF57C0"/>
    <w:rsid w:val="00DF6CF4"/>
    <w:rsid w:val="00DF7762"/>
    <w:rsid w:val="00DF7EA8"/>
    <w:rsid w:val="00E002A1"/>
    <w:rsid w:val="00E0253E"/>
    <w:rsid w:val="00E02863"/>
    <w:rsid w:val="00E03BBE"/>
    <w:rsid w:val="00E04449"/>
    <w:rsid w:val="00E04D2A"/>
    <w:rsid w:val="00E05FC6"/>
    <w:rsid w:val="00E062D0"/>
    <w:rsid w:val="00E068EA"/>
    <w:rsid w:val="00E06E73"/>
    <w:rsid w:val="00E10018"/>
    <w:rsid w:val="00E10056"/>
    <w:rsid w:val="00E10CB3"/>
    <w:rsid w:val="00E110FD"/>
    <w:rsid w:val="00E126DC"/>
    <w:rsid w:val="00E1405E"/>
    <w:rsid w:val="00E14E19"/>
    <w:rsid w:val="00E14FA1"/>
    <w:rsid w:val="00E1537A"/>
    <w:rsid w:val="00E156C2"/>
    <w:rsid w:val="00E15BE3"/>
    <w:rsid w:val="00E1617A"/>
    <w:rsid w:val="00E17A1D"/>
    <w:rsid w:val="00E17D3D"/>
    <w:rsid w:val="00E17D42"/>
    <w:rsid w:val="00E21416"/>
    <w:rsid w:val="00E24401"/>
    <w:rsid w:val="00E2493C"/>
    <w:rsid w:val="00E24DF8"/>
    <w:rsid w:val="00E25029"/>
    <w:rsid w:val="00E25457"/>
    <w:rsid w:val="00E27248"/>
    <w:rsid w:val="00E27AAF"/>
    <w:rsid w:val="00E30B20"/>
    <w:rsid w:val="00E30BA1"/>
    <w:rsid w:val="00E3172B"/>
    <w:rsid w:val="00E322F4"/>
    <w:rsid w:val="00E32804"/>
    <w:rsid w:val="00E333D8"/>
    <w:rsid w:val="00E33F3D"/>
    <w:rsid w:val="00E34DCC"/>
    <w:rsid w:val="00E3658E"/>
    <w:rsid w:val="00E37286"/>
    <w:rsid w:val="00E379A8"/>
    <w:rsid w:val="00E401D0"/>
    <w:rsid w:val="00E41F22"/>
    <w:rsid w:val="00E4227C"/>
    <w:rsid w:val="00E458A3"/>
    <w:rsid w:val="00E470E5"/>
    <w:rsid w:val="00E50750"/>
    <w:rsid w:val="00E509E6"/>
    <w:rsid w:val="00E513A1"/>
    <w:rsid w:val="00E526EE"/>
    <w:rsid w:val="00E52D23"/>
    <w:rsid w:val="00E53126"/>
    <w:rsid w:val="00E56A23"/>
    <w:rsid w:val="00E56B95"/>
    <w:rsid w:val="00E60D98"/>
    <w:rsid w:val="00E62269"/>
    <w:rsid w:val="00E62466"/>
    <w:rsid w:val="00E64288"/>
    <w:rsid w:val="00E66687"/>
    <w:rsid w:val="00E66C63"/>
    <w:rsid w:val="00E677EA"/>
    <w:rsid w:val="00E67F55"/>
    <w:rsid w:val="00E70271"/>
    <w:rsid w:val="00E7032B"/>
    <w:rsid w:val="00E70787"/>
    <w:rsid w:val="00E713CB"/>
    <w:rsid w:val="00E726D5"/>
    <w:rsid w:val="00E728A6"/>
    <w:rsid w:val="00E72B04"/>
    <w:rsid w:val="00E72C33"/>
    <w:rsid w:val="00E73B76"/>
    <w:rsid w:val="00E74B4C"/>
    <w:rsid w:val="00E846B9"/>
    <w:rsid w:val="00E8545F"/>
    <w:rsid w:val="00E8788C"/>
    <w:rsid w:val="00E87B37"/>
    <w:rsid w:val="00E90775"/>
    <w:rsid w:val="00E90BDB"/>
    <w:rsid w:val="00E91957"/>
    <w:rsid w:val="00E931E6"/>
    <w:rsid w:val="00E9374A"/>
    <w:rsid w:val="00E93C10"/>
    <w:rsid w:val="00E94211"/>
    <w:rsid w:val="00E94339"/>
    <w:rsid w:val="00E9466C"/>
    <w:rsid w:val="00E94A40"/>
    <w:rsid w:val="00E96ED0"/>
    <w:rsid w:val="00EA0334"/>
    <w:rsid w:val="00EA1A9E"/>
    <w:rsid w:val="00EA332F"/>
    <w:rsid w:val="00EA5397"/>
    <w:rsid w:val="00EA6094"/>
    <w:rsid w:val="00EB12BB"/>
    <w:rsid w:val="00EB36B3"/>
    <w:rsid w:val="00EB3CE7"/>
    <w:rsid w:val="00EB3FC4"/>
    <w:rsid w:val="00EB5E52"/>
    <w:rsid w:val="00EB67C9"/>
    <w:rsid w:val="00EB7E4D"/>
    <w:rsid w:val="00EC106E"/>
    <w:rsid w:val="00EC1737"/>
    <w:rsid w:val="00EC19A7"/>
    <w:rsid w:val="00EC3A0F"/>
    <w:rsid w:val="00EC5CB6"/>
    <w:rsid w:val="00EC683D"/>
    <w:rsid w:val="00EC6DF6"/>
    <w:rsid w:val="00EC74F2"/>
    <w:rsid w:val="00EC7DE5"/>
    <w:rsid w:val="00ED0F4B"/>
    <w:rsid w:val="00ED4375"/>
    <w:rsid w:val="00ED50A4"/>
    <w:rsid w:val="00EE0171"/>
    <w:rsid w:val="00EE2827"/>
    <w:rsid w:val="00EE5C61"/>
    <w:rsid w:val="00EE711C"/>
    <w:rsid w:val="00EE7571"/>
    <w:rsid w:val="00EE7B1D"/>
    <w:rsid w:val="00EF05DD"/>
    <w:rsid w:val="00EF248F"/>
    <w:rsid w:val="00EF38DB"/>
    <w:rsid w:val="00EF3FD2"/>
    <w:rsid w:val="00EF40E8"/>
    <w:rsid w:val="00EF62B5"/>
    <w:rsid w:val="00EF70B1"/>
    <w:rsid w:val="00F01469"/>
    <w:rsid w:val="00F02925"/>
    <w:rsid w:val="00F02F0F"/>
    <w:rsid w:val="00F03927"/>
    <w:rsid w:val="00F05A1C"/>
    <w:rsid w:val="00F06A15"/>
    <w:rsid w:val="00F06F6D"/>
    <w:rsid w:val="00F105E1"/>
    <w:rsid w:val="00F1107C"/>
    <w:rsid w:val="00F117FF"/>
    <w:rsid w:val="00F11BDC"/>
    <w:rsid w:val="00F1337D"/>
    <w:rsid w:val="00F16132"/>
    <w:rsid w:val="00F202EC"/>
    <w:rsid w:val="00F230B3"/>
    <w:rsid w:val="00F242E7"/>
    <w:rsid w:val="00F2442A"/>
    <w:rsid w:val="00F306EC"/>
    <w:rsid w:val="00F30C9E"/>
    <w:rsid w:val="00F30DB4"/>
    <w:rsid w:val="00F33BD0"/>
    <w:rsid w:val="00F35168"/>
    <w:rsid w:val="00F35B91"/>
    <w:rsid w:val="00F3793A"/>
    <w:rsid w:val="00F42560"/>
    <w:rsid w:val="00F42D0D"/>
    <w:rsid w:val="00F432E7"/>
    <w:rsid w:val="00F43DAE"/>
    <w:rsid w:val="00F44642"/>
    <w:rsid w:val="00F458A5"/>
    <w:rsid w:val="00F459FB"/>
    <w:rsid w:val="00F46E30"/>
    <w:rsid w:val="00F475F3"/>
    <w:rsid w:val="00F5049C"/>
    <w:rsid w:val="00F52261"/>
    <w:rsid w:val="00F54DFC"/>
    <w:rsid w:val="00F55032"/>
    <w:rsid w:val="00F5521E"/>
    <w:rsid w:val="00F6052B"/>
    <w:rsid w:val="00F605F2"/>
    <w:rsid w:val="00F61B03"/>
    <w:rsid w:val="00F64109"/>
    <w:rsid w:val="00F64505"/>
    <w:rsid w:val="00F6473E"/>
    <w:rsid w:val="00F65B82"/>
    <w:rsid w:val="00F65EB1"/>
    <w:rsid w:val="00F72057"/>
    <w:rsid w:val="00F72589"/>
    <w:rsid w:val="00F72872"/>
    <w:rsid w:val="00F73023"/>
    <w:rsid w:val="00F731CA"/>
    <w:rsid w:val="00F7751B"/>
    <w:rsid w:val="00F779F6"/>
    <w:rsid w:val="00F80780"/>
    <w:rsid w:val="00F813DA"/>
    <w:rsid w:val="00F8311A"/>
    <w:rsid w:val="00F8417A"/>
    <w:rsid w:val="00F912DB"/>
    <w:rsid w:val="00F928E1"/>
    <w:rsid w:val="00F937A4"/>
    <w:rsid w:val="00F93EE4"/>
    <w:rsid w:val="00F95D10"/>
    <w:rsid w:val="00FA1769"/>
    <w:rsid w:val="00FA17DB"/>
    <w:rsid w:val="00FA21FB"/>
    <w:rsid w:val="00FA5EB2"/>
    <w:rsid w:val="00FA7D8A"/>
    <w:rsid w:val="00FA7DFA"/>
    <w:rsid w:val="00FB0E9B"/>
    <w:rsid w:val="00FB1562"/>
    <w:rsid w:val="00FB1749"/>
    <w:rsid w:val="00FB22AB"/>
    <w:rsid w:val="00FB2CA2"/>
    <w:rsid w:val="00FB342A"/>
    <w:rsid w:val="00FB3C32"/>
    <w:rsid w:val="00FB4596"/>
    <w:rsid w:val="00FB4650"/>
    <w:rsid w:val="00FB5F62"/>
    <w:rsid w:val="00FB64E9"/>
    <w:rsid w:val="00FB7405"/>
    <w:rsid w:val="00FB751C"/>
    <w:rsid w:val="00FB7868"/>
    <w:rsid w:val="00FB7F03"/>
    <w:rsid w:val="00FC0E57"/>
    <w:rsid w:val="00FC18E8"/>
    <w:rsid w:val="00FC22B8"/>
    <w:rsid w:val="00FC2949"/>
    <w:rsid w:val="00FC2D28"/>
    <w:rsid w:val="00FC410D"/>
    <w:rsid w:val="00FC4650"/>
    <w:rsid w:val="00FC4AA6"/>
    <w:rsid w:val="00FC4DD0"/>
    <w:rsid w:val="00FC4F63"/>
    <w:rsid w:val="00FC58CD"/>
    <w:rsid w:val="00FC5A1C"/>
    <w:rsid w:val="00FC61EF"/>
    <w:rsid w:val="00FC6A84"/>
    <w:rsid w:val="00FC7AEE"/>
    <w:rsid w:val="00FC7E1B"/>
    <w:rsid w:val="00FD1356"/>
    <w:rsid w:val="00FD1808"/>
    <w:rsid w:val="00FD1D44"/>
    <w:rsid w:val="00FD271E"/>
    <w:rsid w:val="00FD3B40"/>
    <w:rsid w:val="00FD493F"/>
    <w:rsid w:val="00FD49EF"/>
    <w:rsid w:val="00FD5101"/>
    <w:rsid w:val="00FD6C84"/>
    <w:rsid w:val="00FD6F50"/>
    <w:rsid w:val="00FD74E4"/>
    <w:rsid w:val="00FD7AD2"/>
    <w:rsid w:val="00FE0F9E"/>
    <w:rsid w:val="00FE0FE1"/>
    <w:rsid w:val="00FE20E5"/>
    <w:rsid w:val="00FE293F"/>
    <w:rsid w:val="00FE2F9A"/>
    <w:rsid w:val="00FE308F"/>
    <w:rsid w:val="00FE3295"/>
    <w:rsid w:val="00FE3390"/>
    <w:rsid w:val="00FE3573"/>
    <w:rsid w:val="00FE3933"/>
    <w:rsid w:val="00FE3D96"/>
    <w:rsid w:val="00FE698E"/>
    <w:rsid w:val="00FE6F4A"/>
    <w:rsid w:val="00FE76DA"/>
    <w:rsid w:val="00FE787C"/>
    <w:rsid w:val="00FE7C94"/>
    <w:rsid w:val="00FF1930"/>
    <w:rsid w:val="00FF2D67"/>
    <w:rsid w:val="00FF3110"/>
    <w:rsid w:val="00FF3E72"/>
    <w:rsid w:val="00FF4056"/>
    <w:rsid w:val="00FF4088"/>
    <w:rsid w:val="00FF52E2"/>
    <w:rsid w:val="00FF59A1"/>
    <w:rsid w:val="00FF6055"/>
    <w:rsid w:val="00FF6C29"/>
    <w:rsid w:val="036B635E"/>
    <w:rsid w:val="06B82537"/>
    <w:rsid w:val="0AD667BD"/>
    <w:rsid w:val="130A7752"/>
    <w:rsid w:val="16B52930"/>
    <w:rsid w:val="189936EA"/>
    <w:rsid w:val="19A62693"/>
    <w:rsid w:val="1C87265B"/>
    <w:rsid w:val="27270955"/>
    <w:rsid w:val="275C10FD"/>
    <w:rsid w:val="28F210A1"/>
    <w:rsid w:val="2B351907"/>
    <w:rsid w:val="31DE4F4C"/>
    <w:rsid w:val="3A943112"/>
    <w:rsid w:val="4B7457F7"/>
    <w:rsid w:val="4C1F07A0"/>
    <w:rsid w:val="6396087F"/>
    <w:rsid w:val="65CA5E2C"/>
    <w:rsid w:val="6D1F1396"/>
    <w:rsid w:val="6DFC64FD"/>
    <w:rsid w:val="775954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0"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等线 Light" w:hAnsi="等线 Light" w:eastAsia="等线 Light" w:cs="黑体"/>
      <w:b/>
      <w:bCs/>
      <w:sz w:val="32"/>
      <w:szCs w:val="32"/>
    </w:rPr>
  </w:style>
  <w:style w:type="paragraph" w:styleId="4">
    <w:name w:val="heading 3"/>
    <w:basedOn w:val="1"/>
    <w:next w:val="1"/>
    <w:link w:val="26"/>
    <w:unhideWhenUsed/>
    <w:qFormat/>
    <w:uiPriority w:val="9"/>
    <w:pPr>
      <w:keepNext/>
      <w:keepLines/>
      <w:widowControl/>
      <w:spacing w:before="260" w:after="260" w:line="416" w:lineRule="auto"/>
      <w:ind w:firstLine="200" w:firstLineChars="200"/>
      <w:jc w:val="left"/>
      <w:outlineLvl w:val="2"/>
    </w:pPr>
    <w:rPr>
      <w:rFonts w:ascii="Times New Roman" w:hAnsi="Times New Roman" w:cs="黑体"/>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7"/>
    <w:semiHidden/>
    <w:unhideWhenUsed/>
    <w:qFormat/>
    <w:uiPriority w:val="0"/>
    <w:rPr>
      <w:rFonts w:ascii="宋体" w:eastAsia="宋体"/>
      <w:sz w:val="18"/>
      <w:szCs w:val="18"/>
    </w:rPr>
  </w:style>
  <w:style w:type="paragraph" w:styleId="6">
    <w:name w:val="annotation text"/>
    <w:basedOn w:val="1"/>
    <w:link w:val="28"/>
    <w:unhideWhenUsed/>
    <w:qFormat/>
    <w:uiPriority w:val="0"/>
    <w:pPr>
      <w:jc w:val="left"/>
    </w:pPr>
  </w:style>
  <w:style w:type="paragraph" w:styleId="7">
    <w:name w:val="Body Text"/>
    <w:basedOn w:val="1"/>
    <w:link w:val="60"/>
    <w:semiHidden/>
    <w:unhideWhenUsed/>
    <w:qFormat/>
    <w:uiPriority w:val="0"/>
    <w:pPr>
      <w:spacing w:after="120"/>
    </w:pPr>
  </w:style>
  <w:style w:type="paragraph" w:styleId="8">
    <w:name w:val="Date"/>
    <w:basedOn w:val="1"/>
    <w:next w:val="1"/>
    <w:link w:val="29"/>
    <w:unhideWhenUsed/>
    <w:qFormat/>
    <w:uiPriority w:val="99"/>
    <w:pPr>
      <w:ind w:left="100" w:leftChars="2500"/>
    </w:pPr>
  </w:style>
  <w:style w:type="paragraph" w:styleId="9">
    <w:name w:val="Body Text Indent 2"/>
    <w:basedOn w:val="1"/>
    <w:link w:val="51"/>
    <w:qFormat/>
    <w:uiPriority w:val="0"/>
    <w:pPr>
      <w:spacing w:after="120" w:line="480" w:lineRule="auto"/>
      <w:ind w:left="420"/>
    </w:pPr>
    <w:rPr>
      <w:rFonts w:ascii="Times New Roman" w:hAnsi="Times New Roman" w:eastAsia="宋体"/>
      <w:szCs w:val="20"/>
    </w:rPr>
  </w:style>
  <w:style w:type="paragraph" w:styleId="10">
    <w:name w:val="Balloon Text"/>
    <w:basedOn w:val="1"/>
    <w:link w:val="30"/>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line="600" w:lineRule="auto"/>
    </w:pPr>
    <w:rPr>
      <w:rFonts w:eastAsia="宋体"/>
      <w:sz w:val="28"/>
    </w:rPr>
  </w:style>
  <w:style w:type="paragraph" w:styleId="14">
    <w:name w:val="toc 2"/>
    <w:basedOn w:val="1"/>
    <w:next w:val="1"/>
    <w:unhideWhenUsed/>
    <w:qFormat/>
    <w:uiPriority w:val="39"/>
    <w:pPr>
      <w:ind w:left="420" w:leftChars="200"/>
    </w:p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next w:val="1"/>
    <w:link w:val="62"/>
    <w:qFormat/>
    <w:uiPriority w:val="10"/>
    <w:pPr>
      <w:widowControl w:val="0"/>
      <w:spacing w:before="240" w:after="60"/>
      <w:jc w:val="center"/>
      <w:outlineLvl w:val="0"/>
    </w:pPr>
    <w:rPr>
      <w:rFonts w:ascii="Cambria" w:hAnsi="Cambria" w:eastAsia="宋体" w:cs="Times New Roman"/>
      <w:b/>
      <w:bCs/>
      <w:sz w:val="32"/>
      <w:szCs w:val="32"/>
      <w:lang w:val="en-US" w:eastAsia="zh-CN" w:bidi="ar-SA"/>
    </w:rPr>
  </w:style>
  <w:style w:type="paragraph" w:styleId="17">
    <w:name w:val="annotation subject"/>
    <w:basedOn w:val="6"/>
    <w:next w:val="6"/>
    <w:link w:val="33"/>
    <w:unhideWhenUsed/>
    <w:qFormat/>
    <w:uiPriority w:val="99"/>
    <w:rPr>
      <w:b/>
      <w:bCs/>
    </w:rPr>
  </w:style>
  <w:style w:type="paragraph" w:styleId="18">
    <w:name w:val="Body Text First Indent"/>
    <w:basedOn w:val="7"/>
    <w:link w:val="61"/>
    <w:unhideWhenUsed/>
    <w:qFormat/>
    <w:uiPriority w:val="99"/>
    <w:pPr>
      <w:ind w:firstLine="420" w:firstLineChars="100"/>
    </w:pPr>
    <w:rPr>
      <w:rFonts w:asciiTheme="minorHAnsi" w:hAnsiTheme="minorHAnsi" w:eastAsiaTheme="minorEastAsia" w:cstheme="minorBidi"/>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unhideWhenUsed/>
    <w:qFormat/>
    <w:uiPriority w:val="99"/>
    <w:rPr>
      <w:color w:val="0563C1"/>
      <w:u w:val="single"/>
    </w:rPr>
  </w:style>
  <w:style w:type="character" w:styleId="23">
    <w:name w:val="annotation reference"/>
    <w:unhideWhenUsed/>
    <w:qFormat/>
    <w:uiPriority w:val="0"/>
    <w:rPr>
      <w:sz w:val="21"/>
      <w:szCs w:val="21"/>
    </w:rPr>
  </w:style>
  <w:style w:type="character" w:customStyle="1" w:styleId="24">
    <w:name w:val="标题 1 字符"/>
    <w:link w:val="2"/>
    <w:qFormat/>
    <w:uiPriority w:val="9"/>
    <w:rPr>
      <w:rFonts w:ascii="等线" w:hAnsi="等线" w:eastAsia="等线" w:cs="Times New Roman"/>
      <w:b/>
      <w:bCs/>
      <w:kern w:val="44"/>
      <w:sz w:val="44"/>
      <w:szCs w:val="44"/>
    </w:rPr>
  </w:style>
  <w:style w:type="character" w:customStyle="1" w:styleId="25">
    <w:name w:val="标题 2 字符"/>
    <w:link w:val="3"/>
    <w:qFormat/>
    <w:uiPriority w:val="9"/>
    <w:rPr>
      <w:rFonts w:ascii="等线 Light" w:hAnsi="等线 Light" w:eastAsia="等线 Light" w:cs="黑体"/>
      <w:b/>
      <w:bCs/>
      <w:sz w:val="32"/>
      <w:szCs w:val="32"/>
    </w:rPr>
  </w:style>
  <w:style w:type="character" w:customStyle="1" w:styleId="26">
    <w:name w:val="标题 3 字符"/>
    <w:link w:val="4"/>
    <w:qFormat/>
    <w:uiPriority w:val="9"/>
    <w:rPr>
      <w:rFonts w:ascii="Times New Roman" w:hAnsi="Times New Roman"/>
      <w:b/>
      <w:bCs/>
      <w:sz w:val="32"/>
      <w:szCs w:val="32"/>
    </w:rPr>
  </w:style>
  <w:style w:type="character" w:customStyle="1" w:styleId="27">
    <w:name w:val="文档结构图 字符"/>
    <w:basedOn w:val="21"/>
    <w:link w:val="5"/>
    <w:semiHidden/>
    <w:qFormat/>
    <w:uiPriority w:val="0"/>
    <w:rPr>
      <w:rFonts w:ascii="宋体" w:hAnsi="等线"/>
      <w:kern w:val="2"/>
      <w:sz w:val="18"/>
      <w:szCs w:val="18"/>
    </w:rPr>
  </w:style>
  <w:style w:type="character" w:customStyle="1" w:styleId="28">
    <w:name w:val="批注文字 字符"/>
    <w:link w:val="6"/>
    <w:qFormat/>
    <w:uiPriority w:val="0"/>
    <w:rPr>
      <w:rFonts w:ascii="等线" w:hAnsi="等线" w:eastAsia="等线" w:cs="Times New Roman"/>
    </w:rPr>
  </w:style>
  <w:style w:type="character" w:customStyle="1" w:styleId="29">
    <w:name w:val="日期 字符"/>
    <w:link w:val="8"/>
    <w:qFormat/>
    <w:uiPriority w:val="99"/>
    <w:rPr>
      <w:rFonts w:ascii="等线" w:hAnsi="等线" w:eastAsia="等线" w:cs="Times New Roman"/>
    </w:rPr>
  </w:style>
  <w:style w:type="character" w:customStyle="1" w:styleId="30">
    <w:name w:val="批注框文本 字符"/>
    <w:link w:val="10"/>
    <w:qFormat/>
    <w:uiPriority w:val="99"/>
    <w:rPr>
      <w:rFonts w:ascii="等线" w:hAnsi="等线" w:eastAsia="等线" w:cs="Times New Roman"/>
      <w:sz w:val="18"/>
      <w:szCs w:val="18"/>
    </w:rPr>
  </w:style>
  <w:style w:type="character" w:customStyle="1" w:styleId="31">
    <w:name w:val="页脚 字符"/>
    <w:link w:val="11"/>
    <w:qFormat/>
    <w:uiPriority w:val="99"/>
    <w:rPr>
      <w:rFonts w:ascii="等线" w:hAnsi="等线" w:eastAsia="等线" w:cs="Times New Roman"/>
      <w:sz w:val="18"/>
      <w:szCs w:val="18"/>
    </w:rPr>
  </w:style>
  <w:style w:type="character" w:customStyle="1" w:styleId="32">
    <w:name w:val="页眉 字符"/>
    <w:link w:val="12"/>
    <w:qFormat/>
    <w:uiPriority w:val="99"/>
    <w:rPr>
      <w:rFonts w:ascii="等线" w:hAnsi="等线" w:eastAsia="等线"/>
      <w:kern w:val="2"/>
      <w:sz w:val="18"/>
      <w:szCs w:val="18"/>
    </w:rPr>
  </w:style>
  <w:style w:type="character" w:customStyle="1" w:styleId="33">
    <w:name w:val="批注主题 字符"/>
    <w:link w:val="17"/>
    <w:qFormat/>
    <w:uiPriority w:val="99"/>
    <w:rPr>
      <w:rFonts w:ascii="等线" w:hAnsi="等线" w:eastAsia="等线" w:cs="Times New Roman"/>
      <w:b/>
      <w:bCs/>
    </w:rPr>
  </w:style>
  <w:style w:type="paragraph" w:customStyle="1" w:styleId="34">
    <w:name w:val="列表段落1"/>
    <w:basedOn w:val="1"/>
    <w:qFormat/>
    <w:uiPriority w:val="34"/>
    <w:pPr>
      <w:ind w:firstLine="420" w:firstLineChars="200"/>
    </w:pPr>
  </w:style>
  <w:style w:type="paragraph" w:customStyle="1" w:styleId="35">
    <w:name w:val="修订1"/>
    <w:hidden/>
    <w:semiHidden/>
    <w:qFormat/>
    <w:uiPriority w:val="99"/>
    <w:rPr>
      <w:rFonts w:ascii="等线" w:hAnsi="等线" w:eastAsia="等线" w:cs="Times New Roman"/>
      <w:lang w:val="en-US" w:eastAsia="zh-CN" w:bidi="ar-SA"/>
    </w:rPr>
  </w:style>
  <w:style w:type="paragraph" w:customStyle="1" w:styleId="3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7">
    <w:name w:val="占位符文本1"/>
    <w:semiHidden/>
    <w:qFormat/>
    <w:uiPriority w:val="99"/>
    <w:rPr>
      <w:color w:val="808080"/>
    </w:rPr>
  </w:style>
  <w:style w:type="paragraph" w:customStyle="1" w:styleId="38">
    <w:name w:val="TOC 标题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styleId="39">
    <w:name w:val="Placeholder Text"/>
    <w:basedOn w:val="21"/>
    <w:semiHidden/>
    <w:qFormat/>
    <w:uiPriority w:val="99"/>
    <w:rPr>
      <w:color w:val="808080"/>
    </w:rPr>
  </w:style>
  <w:style w:type="paragraph" w:styleId="40">
    <w:name w:val="List Paragraph"/>
    <w:basedOn w:val="1"/>
    <w:link w:val="65"/>
    <w:qFormat/>
    <w:uiPriority w:val="34"/>
    <w:pPr>
      <w:ind w:firstLine="420" w:firstLineChars="200"/>
    </w:pPr>
  </w:style>
  <w:style w:type="character" w:customStyle="1" w:styleId="41">
    <w:name w:val="明显参考1"/>
    <w:basedOn w:val="21"/>
    <w:qFormat/>
    <w:uiPriority w:val="32"/>
    <w:rPr>
      <w:b/>
      <w:bCs/>
      <w:smallCaps/>
      <w:color w:val="C0504D" w:themeColor="accent2"/>
      <w:spacing w:val="5"/>
      <w:u w:val="single"/>
      <w14:textFill>
        <w14:solidFill>
          <w14:schemeClr w14:val="accent2"/>
        </w14:solidFill>
      </w14:textFill>
    </w:rPr>
  </w:style>
  <w:style w:type="paragraph" w:customStyle="1" w:styleId="42">
    <w:name w:val="修订2"/>
    <w:hidden/>
    <w:semiHidden/>
    <w:qFormat/>
    <w:uiPriority w:val="99"/>
    <w:rPr>
      <w:rFonts w:ascii="等线" w:hAnsi="等线" w:eastAsia="等线" w:cs="Times New Roman"/>
      <w:kern w:val="2"/>
      <w:sz w:val="21"/>
      <w:szCs w:val="22"/>
      <w:lang w:val="en-US" w:eastAsia="zh-CN" w:bidi="ar-SA"/>
    </w:rPr>
  </w:style>
  <w:style w:type="paragraph" w:customStyle="1" w:styleId="4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44">
    <w:name w:val="标准书眉一"/>
    <w:qFormat/>
    <w:uiPriority w:val="0"/>
    <w:pPr>
      <w:jc w:val="both"/>
    </w:pPr>
    <w:rPr>
      <w:rFonts w:ascii="Times New Roman" w:hAnsi="Times New Roman" w:eastAsia="宋体" w:cs="Times New Roman"/>
      <w:lang w:val="en-US" w:eastAsia="zh-CN" w:bidi="ar-SA"/>
    </w:rPr>
  </w:style>
  <w:style w:type="paragraph" w:customStyle="1" w:styleId="4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46">
    <w:name w:val="其他发布日期"/>
    <w:basedOn w:val="1"/>
    <w:qFormat/>
    <w:uiPriority w:val="0"/>
    <w:pPr>
      <w:framePr w:w="3997" w:h="471" w:hRule="exact" w:vSpace="181" w:wrap="around" w:vAnchor="page" w:hAnchor="page" w:x="1419" w:y="14097" w:anchorLock="1"/>
      <w:widowControl/>
      <w:jc w:val="left"/>
    </w:pPr>
    <w:rPr>
      <w:rFonts w:ascii="Times New Roman" w:hAnsi="Times New Roman" w:eastAsia="黑体"/>
      <w:kern w:val="0"/>
      <w:sz w:val="28"/>
      <w:szCs w:val="20"/>
    </w:rPr>
  </w:style>
  <w:style w:type="paragraph" w:customStyle="1" w:styleId="47">
    <w:name w:val="其他实施日期"/>
    <w:basedOn w:val="1"/>
    <w:qFormat/>
    <w:uiPriority w:val="0"/>
    <w:pPr>
      <w:framePr w:w="3997" w:h="471" w:hRule="exact" w:vSpace="181" w:wrap="around" w:vAnchor="page" w:hAnchor="page" w:x="7089" w:y="14097" w:anchorLock="1"/>
      <w:widowControl/>
      <w:jc w:val="right"/>
    </w:pPr>
    <w:rPr>
      <w:rFonts w:ascii="Times New Roman" w:hAnsi="Times New Roman" w:eastAsia="黑体"/>
      <w:kern w:val="0"/>
      <w:sz w:val="28"/>
      <w:szCs w:val="20"/>
    </w:rPr>
  </w:style>
  <w:style w:type="paragraph" w:customStyle="1" w:styleId="48">
    <w:name w:val="标准文件_文件名称"/>
    <w:basedOn w:val="1"/>
    <w:next w:val="1"/>
    <w:qFormat/>
    <w:uiPriority w:val="0"/>
    <w:pPr>
      <w:framePr w:w="9639" w:h="6976" w:hRule="exact" w:wrap="auto" w:vAnchor="page" w:hAnchor="page" w:y="6408"/>
      <w:widowControl/>
      <w:spacing w:line="700" w:lineRule="exact"/>
      <w:jc w:val="center"/>
    </w:pPr>
    <w:rPr>
      <w:rFonts w:ascii="黑体" w:hAnsi="黑体" w:eastAsia="黑体"/>
      <w:bCs/>
      <w:kern w:val="0"/>
      <w:sz w:val="52"/>
      <w:szCs w:val="20"/>
    </w:rPr>
  </w:style>
  <w:style w:type="character" w:customStyle="1" w:styleId="49">
    <w:name w:val="fontstyle01"/>
    <w:basedOn w:val="21"/>
    <w:qFormat/>
    <w:uiPriority w:val="0"/>
    <w:rPr>
      <w:rFonts w:hint="eastAsia" w:ascii="黑体" w:hAnsi="黑体" w:eastAsia="黑体"/>
      <w:color w:val="000000"/>
      <w:sz w:val="28"/>
      <w:szCs w:val="28"/>
    </w:rPr>
  </w:style>
  <w:style w:type="character" w:customStyle="1" w:styleId="50">
    <w:name w:val="apple-converted-space"/>
    <w:qFormat/>
    <w:uiPriority w:val="0"/>
  </w:style>
  <w:style w:type="character" w:customStyle="1" w:styleId="51">
    <w:name w:val="正文文本缩进 2 字符"/>
    <w:link w:val="9"/>
    <w:qFormat/>
    <w:uiPriority w:val="0"/>
    <w:rPr>
      <w:kern w:val="2"/>
      <w:sz w:val="21"/>
    </w:rPr>
  </w:style>
  <w:style w:type="character" w:customStyle="1" w:styleId="52">
    <w:name w:val="正文文本缩进 2 字符1"/>
    <w:basedOn w:val="21"/>
    <w:semiHidden/>
    <w:qFormat/>
    <w:uiPriority w:val="99"/>
    <w:rPr>
      <w:rFonts w:ascii="等线" w:hAnsi="等线" w:eastAsia="等线"/>
      <w:kern w:val="2"/>
      <w:sz w:val="21"/>
      <w:szCs w:val="22"/>
    </w:rPr>
  </w:style>
  <w:style w:type="paragraph" w:customStyle="1" w:styleId="53">
    <w:name w:val="_Style 48"/>
    <w:basedOn w:val="1"/>
    <w:next w:val="40"/>
    <w:qFormat/>
    <w:uiPriority w:val="34"/>
    <w:pPr>
      <w:ind w:firstLine="200" w:firstLineChars="200"/>
    </w:pPr>
    <w:rPr>
      <w:rFonts w:ascii="Times New Roman" w:hAnsi="Times New Roman" w:eastAsia="宋体"/>
      <w:szCs w:val="24"/>
    </w:rPr>
  </w:style>
  <w:style w:type="paragraph" w:customStyle="1" w:styleId="54">
    <w:name w:val="IDC A-Head (2nd Line)"/>
    <w:basedOn w:val="1"/>
    <w:next w:val="1"/>
    <w:qFormat/>
    <w:uiPriority w:val="0"/>
    <w:pPr>
      <w:widowControl/>
      <w:jc w:val="center"/>
    </w:pPr>
    <w:rPr>
      <w:rFonts w:ascii="Times New Roman" w:hAnsi="Times New Roman" w:eastAsia="宋体"/>
      <w:caps/>
      <w:kern w:val="0"/>
      <w:sz w:val="24"/>
      <w:szCs w:val="20"/>
    </w:rPr>
  </w:style>
  <w:style w:type="paragraph" w:customStyle="1" w:styleId="55">
    <w:name w:val="TOC 标题2"/>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56">
    <w:name w:val="p0"/>
    <w:basedOn w:val="1"/>
    <w:qFormat/>
    <w:uiPriority w:val="0"/>
    <w:pPr>
      <w:widowControl/>
      <w:jc w:val="left"/>
    </w:pPr>
    <w:rPr>
      <w:rFonts w:ascii="Times New Roman" w:hAnsi="Times New Roman" w:eastAsia="宋体"/>
      <w:kern w:val="0"/>
      <w:sz w:val="24"/>
      <w:szCs w:val="20"/>
    </w:rPr>
  </w:style>
  <w:style w:type="character" w:customStyle="1" w:styleId="57">
    <w:name w:val="标题 1 Char"/>
    <w:qFormat/>
    <w:uiPriority w:val="0"/>
    <w:rPr>
      <w:rFonts w:ascii="Times New Roman" w:hAnsi="Times New Roman"/>
      <w:b/>
      <w:bCs/>
      <w:kern w:val="44"/>
      <w:sz w:val="44"/>
      <w:szCs w:val="44"/>
    </w:rPr>
  </w:style>
  <w:style w:type="paragraph" w:customStyle="1" w:styleId="58">
    <w:name w:val="_Style 53"/>
    <w:basedOn w:val="1"/>
    <w:next w:val="40"/>
    <w:qFormat/>
    <w:uiPriority w:val="34"/>
    <w:pPr>
      <w:ind w:firstLine="200" w:firstLineChars="200"/>
    </w:pPr>
    <w:rPr>
      <w:rFonts w:ascii="Times New Roman" w:hAnsi="Times New Roman" w:eastAsia="宋体"/>
      <w:szCs w:val="24"/>
    </w:rPr>
  </w:style>
  <w:style w:type="paragraph" w:customStyle="1" w:styleId="59">
    <w:name w:val="_Style 55"/>
    <w:basedOn w:val="1"/>
    <w:next w:val="40"/>
    <w:qFormat/>
    <w:uiPriority w:val="34"/>
    <w:pPr>
      <w:ind w:firstLine="200" w:firstLineChars="200"/>
    </w:pPr>
    <w:rPr>
      <w:rFonts w:ascii="Times New Roman" w:hAnsi="Times New Roman" w:eastAsia="宋体"/>
      <w:szCs w:val="24"/>
    </w:rPr>
  </w:style>
  <w:style w:type="character" w:customStyle="1" w:styleId="60">
    <w:name w:val="正文文本 字符"/>
    <w:basedOn w:val="21"/>
    <w:link w:val="7"/>
    <w:semiHidden/>
    <w:qFormat/>
    <w:uiPriority w:val="0"/>
    <w:rPr>
      <w:rFonts w:ascii="等线" w:hAnsi="等线" w:eastAsia="等线"/>
      <w:kern w:val="2"/>
      <w:sz w:val="21"/>
      <w:szCs w:val="22"/>
    </w:rPr>
  </w:style>
  <w:style w:type="character" w:customStyle="1" w:styleId="61">
    <w:name w:val="正文文本首行缩进 字符"/>
    <w:basedOn w:val="60"/>
    <w:link w:val="18"/>
    <w:qFormat/>
    <w:uiPriority w:val="99"/>
    <w:rPr>
      <w:rFonts w:asciiTheme="minorHAnsi" w:hAnsiTheme="minorHAnsi" w:eastAsiaTheme="minorEastAsia" w:cstheme="minorBidi"/>
      <w:kern w:val="2"/>
      <w:sz w:val="21"/>
      <w:szCs w:val="22"/>
    </w:rPr>
  </w:style>
  <w:style w:type="character" w:customStyle="1" w:styleId="62">
    <w:name w:val="标题 字符"/>
    <w:basedOn w:val="21"/>
    <w:link w:val="16"/>
    <w:qFormat/>
    <w:uiPriority w:val="10"/>
    <w:rPr>
      <w:rFonts w:ascii="Cambria" w:hAnsi="Cambria"/>
      <w:b/>
      <w:bCs/>
      <w:sz w:val="32"/>
      <w:szCs w:val="32"/>
    </w:rPr>
  </w:style>
  <w:style w:type="paragraph" w:customStyle="1" w:styleId="63">
    <w:name w:val="目录"/>
    <w:qFormat/>
    <w:uiPriority w:val="0"/>
    <w:pPr>
      <w:widowControl w:val="0"/>
      <w:adjustRightInd w:val="0"/>
      <w:spacing w:line="288" w:lineRule="auto"/>
      <w:jc w:val="center"/>
      <w:textAlignment w:val="baseline"/>
    </w:pPr>
    <w:rPr>
      <w:rFonts w:ascii="Times New Roman" w:hAnsi="Times New Roman" w:eastAsia="宋体" w:cs="Times New Roman"/>
      <w:b/>
      <w:sz w:val="62"/>
      <w:szCs w:val="62"/>
      <w:lang w:val="en-US" w:eastAsia="zh-CN" w:bidi="ar-SA"/>
    </w:rPr>
  </w:style>
  <w:style w:type="paragraph" w:customStyle="1" w:styleId="64">
    <w:name w:val="目录1"/>
    <w:qFormat/>
    <w:uiPriority w:val="0"/>
    <w:pPr>
      <w:widowControl w:val="0"/>
      <w:adjustRightInd w:val="0"/>
      <w:spacing w:line="288" w:lineRule="auto"/>
      <w:jc w:val="center"/>
      <w:textAlignment w:val="baseline"/>
    </w:pPr>
    <w:rPr>
      <w:rFonts w:ascii="Times New Roman" w:hAnsi="Times New Roman" w:eastAsia="宋体" w:cs="Times New Roman"/>
      <w:b/>
      <w:sz w:val="48"/>
      <w:szCs w:val="48"/>
      <w:lang w:val="en-US" w:eastAsia="zh-CN" w:bidi="ar-SA"/>
    </w:rPr>
  </w:style>
  <w:style w:type="character" w:customStyle="1" w:styleId="65">
    <w:name w:val="列表段落 字符"/>
    <w:basedOn w:val="21"/>
    <w:link w:val="40"/>
    <w:qFormat/>
    <w:uiPriority w:val="34"/>
    <w:rPr>
      <w:rFonts w:ascii="等线" w:hAnsi="等线" w:eastAsia="等线"/>
      <w:kern w:val="2"/>
      <w:sz w:val="21"/>
      <w:szCs w:val="22"/>
    </w:rPr>
  </w:style>
  <w:style w:type="paragraph" w:customStyle="1" w:styleId="66">
    <w:name w:val="修订3"/>
    <w:hidden/>
    <w:semiHidden/>
    <w:qFormat/>
    <w:uiPriority w:val="99"/>
    <w:rPr>
      <w:rFonts w:ascii="等线" w:hAnsi="等线" w:eastAsia="等线" w:cs="Times New Roman"/>
      <w:kern w:val="2"/>
      <w:sz w:val="21"/>
      <w:szCs w:val="22"/>
      <w:lang w:val="en-US" w:eastAsia="zh-CN" w:bidi="ar-SA"/>
    </w:rPr>
  </w:style>
  <w:style w:type="paragraph" w:customStyle="1" w:styleId="67">
    <w:name w:val="修订4"/>
    <w:hidden/>
    <w:semiHidden/>
    <w:qFormat/>
    <w:uiPriority w:val="99"/>
    <w:rPr>
      <w:rFonts w:ascii="等线" w:hAnsi="等线" w:eastAsia="等线" w:cs="Times New Roman"/>
      <w:kern w:val="2"/>
      <w:sz w:val="21"/>
      <w:szCs w:val="22"/>
      <w:lang w:val="en-US" w:eastAsia="zh-CN" w:bidi="ar-SA"/>
    </w:rPr>
  </w:style>
  <w:style w:type="paragraph" w:customStyle="1" w:styleId="68">
    <w:name w:val="Revision"/>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A6A266-E0BC-4846-8DE4-D120ABAAD2C8}">
  <ds:schemaRefs/>
</ds:datastoreItem>
</file>

<file path=docProps/app.xml><?xml version="1.0" encoding="utf-8"?>
<Properties xmlns="http://schemas.openxmlformats.org/officeDocument/2006/extended-properties" xmlns:vt="http://schemas.openxmlformats.org/officeDocument/2006/docPropsVTypes">
  <Template>Normal</Template>
  <Pages>15</Pages>
  <Words>1111</Words>
  <Characters>1224</Characters>
  <Lines>245</Lines>
  <Paragraphs>68</Paragraphs>
  <TotalTime>18</TotalTime>
  <ScaleCrop>false</ScaleCrop>
  <LinksUpToDate>false</LinksUpToDate>
  <CharactersWithSpaces>1315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2026-07-07T08:25:00Z</dcterms:created>
  <dc:creator>ceedi</dc:creator>
  <cp:keywords>提交住建部后按20260518讨论意见调整修改稿</cp:keywords>
  <cp:lastModifiedBy>高小明元气满满</cp:lastModifiedBy>
  <cp:lastPrinted>2022-10-27T04:03:00Z</cp:lastPrinted>
  <dcterms:modified xsi:type="dcterms:W3CDTF">2026-07-21T09:14:44Z</dcterms:modified>
  <dc:title>电池生产与处置工程项目规范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26B0DA182A2D4D04BF86A39409B5497D_13</vt:lpwstr>
  </property>
  <property fmtid="{D5CDD505-2E9C-101B-9397-08002B2CF9AE}" pid="4" name="KSOTemplateDocerSaveRecord">
    <vt:lpwstr>eyJoZGlkIjoiNjFjZmE3MTk0OTliYmQxZDQ5OWM5MTNmZWNkN2JlMDciLCJ1c2VySWQiOiIyMzk0ODExMDcifQ==</vt:lpwstr>
  </property>
</Properties>
</file>